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A2A1" w14:textId="77777777" w:rsidR="007C24E2" w:rsidRDefault="00390E6C">
      <w:r w:rsidRPr="00390E6C">
        <w:rPr>
          <w:noProof/>
          <w:lang w:eastAsia="de-DE"/>
        </w:rPr>
        <w:drawing>
          <wp:inline distT="0" distB="0" distL="0" distR="0" wp14:anchorId="7F852930" wp14:editId="48A759B3">
            <wp:extent cx="6496050" cy="14381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37178" cy="1491522"/>
                    </a:xfrm>
                    <a:prstGeom prst="rect">
                      <a:avLst/>
                    </a:prstGeom>
                  </pic:spPr>
                </pic:pic>
              </a:graphicData>
            </a:graphic>
          </wp:inline>
        </w:drawing>
      </w:r>
    </w:p>
    <w:p w14:paraId="1A07DCA6" w14:textId="77777777" w:rsidR="00887F16" w:rsidRPr="006D70C1" w:rsidRDefault="00887F16">
      <w:pPr>
        <w:rPr>
          <w:b/>
          <w:bCs/>
          <w:sz w:val="32"/>
          <w:szCs w:val="32"/>
        </w:rPr>
      </w:pPr>
    </w:p>
    <w:p w14:paraId="6CF030B0" w14:textId="28C36BB2" w:rsidR="00390E6C" w:rsidRDefault="00437E75" w:rsidP="00390E6C">
      <w:pPr>
        <w:rPr>
          <w:sz w:val="28"/>
          <w:szCs w:val="28"/>
        </w:rPr>
      </w:pPr>
      <w:r>
        <w:rPr>
          <w:sz w:val="32"/>
          <w:szCs w:val="32"/>
        </w:rPr>
        <w:t>PRESSEINFORMATION</w:t>
      </w:r>
      <w:r w:rsidR="006D70C1">
        <w:rPr>
          <w:sz w:val="28"/>
          <w:szCs w:val="28"/>
        </w:rPr>
        <w:tab/>
      </w:r>
      <w:r w:rsidR="006D70C1">
        <w:rPr>
          <w:sz w:val="28"/>
          <w:szCs w:val="28"/>
        </w:rPr>
        <w:tab/>
      </w:r>
      <w:r w:rsidR="006D70C1">
        <w:rPr>
          <w:sz w:val="28"/>
          <w:szCs w:val="28"/>
        </w:rPr>
        <w:tab/>
      </w:r>
      <w:r w:rsidR="006D70C1">
        <w:rPr>
          <w:sz w:val="28"/>
          <w:szCs w:val="28"/>
        </w:rPr>
        <w:tab/>
        <w:t xml:space="preserve">       </w:t>
      </w:r>
      <w:r w:rsidR="002441CB">
        <w:rPr>
          <w:sz w:val="28"/>
          <w:szCs w:val="28"/>
        </w:rPr>
        <w:t xml:space="preserve">               </w:t>
      </w:r>
      <w:r>
        <w:rPr>
          <w:sz w:val="28"/>
          <w:szCs w:val="28"/>
        </w:rPr>
        <w:t xml:space="preserve">    </w:t>
      </w:r>
      <w:r w:rsidR="009E11F6">
        <w:rPr>
          <w:sz w:val="28"/>
          <w:szCs w:val="28"/>
        </w:rPr>
        <w:t>Wild</w:t>
      </w:r>
      <w:r w:rsidR="00060880">
        <w:rPr>
          <w:sz w:val="28"/>
          <w:szCs w:val="28"/>
        </w:rPr>
        <w:t xml:space="preserve">au, </w:t>
      </w:r>
      <w:r>
        <w:rPr>
          <w:sz w:val="28"/>
          <w:szCs w:val="28"/>
        </w:rPr>
        <w:t>08.Februar</w:t>
      </w:r>
      <w:r w:rsidR="002441CB">
        <w:rPr>
          <w:sz w:val="28"/>
          <w:szCs w:val="28"/>
        </w:rPr>
        <w:t xml:space="preserve"> </w:t>
      </w:r>
      <w:r w:rsidR="00112B51">
        <w:rPr>
          <w:sz w:val="28"/>
          <w:szCs w:val="28"/>
        </w:rPr>
        <w:t>202</w:t>
      </w:r>
      <w:r w:rsidR="00E053D2">
        <w:rPr>
          <w:sz w:val="28"/>
          <w:szCs w:val="28"/>
        </w:rPr>
        <w:t>1</w:t>
      </w:r>
    </w:p>
    <w:p w14:paraId="47249AA4" w14:textId="3256F72E" w:rsidR="00987D78" w:rsidRDefault="00987D78" w:rsidP="00390E6C">
      <w:pPr>
        <w:rPr>
          <w:sz w:val="28"/>
          <w:szCs w:val="28"/>
        </w:rPr>
      </w:pPr>
    </w:p>
    <w:p w14:paraId="62EB6A7B" w14:textId="27A8AE05" w:rsidR="00987D78" w:rsidRPr="003004E7" w:rsidRDefault="00E053D2" w:rsidP="000F5F5D">
      <w:pPr>
        <w:rPr>
          <w:b/>
          <w:bCs/>
          <w:i/>
          <w:sz w:val="28"/>
          <w:szCs w:val="28"/>
        </w:rPr>
      </w:pPr>
      <w:r w:rsidRPr="003004E7">
        <w:rPr>
          <w:b/>
          <w:bCs/>
          <w:i/>
          <w:sz w:val="28"/>
          <w:szCs w:val="28"/>
        </w:rPr>
        <w:t>TACHO</w:t>
      </w:r>
      <w:r w:rsidRPr="003004E7">
        <w:rPr>
          <w:b/>
          <w:bCs/>
          <w:i/>
          <w:iCs/>
          <w:sz w:val="28"/>
          <w:szCs w:val="28"/>
        </w:rPr>
        <w:t>fresh</w:t>
      </w:r>
      <w:r w:rsidR="003C3504" w:rsidRPr="003004E7">
        <w:rPr>
          <w:b/>
          <w:bCs/>
          <w:i/>
          <w:sz w:val="28"/>
          <w:szCs w:val="28"/>
        </w:rPr>
        <w:t xml:space="preserve"> begrüßt die </w:t>
      </w:r>
      <w:r w:rsidR="002A79F2">
        <w:rPr>
          <w:b/>
          <w:bCs/>
          <w:i/>
          <w:sz w:val="28"/>
          <w:szCs w:val="28"/>
        </w:rPr>
        <w:t>Verlängerung des De-M</w:t>
      </w:r>
      <w:r w:rsidRPr="003004E7">
        <w:rPr>
          <w:b/>
          <w:bCs/>
          <w:i/>
          <w:sz w:val="28"/>
          <w:szCs w:val="28"/>
        </w:rPr>
        <w:t xml:space="preserve">inimis Förderprogramms für </w:t>
      </w:r>
      <w:r w:rsidR="003476A2" w:rsidRPr="003004E7">
        <w:rPr>
          <w:b/>
          <w:bCs/>
          <w:i/>
          <w:sz w:val="28"/>
          <w:szCs w:val="28"/>
        </w:rPr>
        <w:t>KMUs</w:t>
      </w:r>
      <w:r w:rsidR="00B36BA8" w:rsidRPr="003004E7">
        <w:rPr>
          <w:b/>
          <w:bCs/>
          <w:i/>
          <w:sz w:val="28"/>
          <w:szCs w:val="28"/>
        </w:rPr>
        <w:t>:</w:t>
      </w:r>
    </w:p>
    <w:p w14:paraId="617C7CC0" w14:textId="6BFED56C" w:rsidR="00B36BA8" w:rsidRPr="0065005B" w:rsidRDefault="00B36BA8" w:rsidP="000F5F5D">
      <w:pPr>
        <w:rPr>
          <w:b/>
          <w:bCs/>
          <w:sz w:val="28"/>
          <w:szCs w:val="28"/>
        </w:rPr>
      </w:pPr>
      <w:r w:rsidRPr="0065005B">
        <w:rPr>
          <w:b/>
          <w:bCs/>
          <w:sz w:val="28"/>
          <w:szCs w:val="28"/>
        </w:rPr>
        <w:t>Den Lockdown nutzen, um Telematiksysteme weiter auszubauen</w:t>
      </w:r>
    </w:p>
    <w:p w14:paraId="3A117802" w14:textId="0DDF9F11" w:rsidR="00B73BE3" w:rsidRPr="00E32056" w:rsidRDefault="00493350" w:rsidP="00FB251B">
      <w:pPr>
        <w:pStyle w:val="justify"/>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Das De-M</w:t>
      </w:r>
      <w:r w:rsidR="00E053D2" w:rsidRPr="00E32056">
        <w:rPr>
          <w:rFonts w:asciiTheme="minorHAnsi" w:eastAsiaTheme="minorHAnsi" w:hAnsiTheme="minorHAnsi" w:cstheme="minorBidi"/>
          <w:b/>
          <w:sz w:val="22"/>
          <w:szCs w:val="22"/>
          <w:lang w:eastAsia="en-US"/>
        </w:rPr>
        <w:t>inimis Förderprogramm des Bundesamts für Güterverkehr</w:t>
      </w:r>
      <w:r w:rsidR="00B70861" w:rsidRPr="00E32056">
        <w:rPr>
          <w:rFonts w:asciiTheme="minorHAnsi" w:eastAsiaTheme="minorHAnsi" w:hAnsiTheme="minorHAnsi" w:cstheme="minorBidi"/>
          <w:b/>
          <w:sz w:val="22"/>
          <w:szCs w:val="22"/>
          <w:lang w:eastAsia="en-US"/>
        </w:rPr>
        <w:t xml:space="preserve"> (BAG)</w:t>
      </w:r>
      <w:r w:rsidR="00E053D2" w:rsidRPr="00E32056">
        <w:rPr>
          <w:rFonts w:asciiTheme="minorHAnsi" w:eastAsiaTheme="minorHAnsi" w:hAnsiTheme="minorHAnsi" w:cstheme="minorBidi"/>
          <w:b/>
          <w:sz w:val="22"/>
          <w:szCs w:val="22"/>
          <w:lang w:eastAsia="en-US"/>
        </w:rPr>
        <w:t xml:space="preserve"> wurde im Dezember für 2021 verlängert. Mit diesem Förderprogramm unterstützt die Bundesregierung kleine und mittelständische Unternehmen des Güterverkehrs dabei, ihren Fuhrpark mit schweren Nutzfahrzeugen mit einem zulässigen Gesamtgewicht von 7,5 t und mehr zu modernisieren. </w:t>
      </w:r>
      <w:r w:rsidR="00D514E8" w:rsidRPr="00E32056">
        <w:rPr>
          <w:rFonts w:asciiTheme="minorHAnsi" w:eastAsiaTheme="minorHAnsi" w:hAnsiTheme="minorHAnsi" w:cstheme="minorBidi"/>
          <w:b/>
          <w:sz w:val="22"/>
          <w:szCs w:val="22"/>
          <w:lang w:eastAsia="en-US"/>
        </w:rPr>
        <w:t>Telematiklösungen, sowohl Hardware als auch die Nutzungsgebühren und Software,  gehören zu den förderfähigen Maßnahmen</w:t>
      </w:r>
      <w:r w:rsidR="00B36BA8" w:rsidRPr="00E32056">
        <w:rPr>
          <w:rFonts w:asciiTheme="minorHAnsi" w:eastAsiaTheme="minorHAnsi" w:hAnsiTheme="minorHAnsi" w:cstheme="minorBidi"/>
          <w:b/>
          <w:sz w:val="22"/>
          <w:szCs w:val="22"/>
          <w:lang w:eastAsia="en-US"/>
        </w:rPr>
        <w:t xml:space="preserve"> des BAG. </w:t>
      </w:r>
      <w:r w:rsidR="00D514E8" w:rsidRPr="00E32056">
        <w:rPr>
          <w:rFonts w:asciiTheme="minorHAnsi" w:eastAsiaTheme="minorHAnsi" w:hAnsiTheme="minorHAnsi" w:cstheme="minorBidi"/>
          <w:b/>
          <w:sz w:val="22"/>
          <w:szCs w:val="22"/>
          <w:lang w:eastAsia="en-US"/>
        </w:rPr>
        <w:t xml:space="preserve">In der </w:t>
      </w:r>
      <w:r w:rsidR="00A3225F" w:rsidRPr="00E32056">
        <w:rPr>
          <w:rFonts w:asciiTheme="minorHAnsi" w:eastAsiaTheme="minorHAnsi" w:hAnsiTheme="minorHAnsi" w:cstheme="minorBidi"/>
          <w:b/>
          <w:sz w:val="22"/>
          <w:szCs w:val="22"/>
          <w:lang w:eastAsia="en-US"/>
        </w:rPr>
        <w:t xml:space="preserve">sogenannten Positivliste explizit erwähnt sind auch Downloadboxen für den automatischen Download der Fahrer- und Fahrzeugdaten aus dem digitalen Tachografen. </w:t>
      </w:r>
    </w:p>
    <w:p w14:paraId="21E7E0BC" w14:textId="5696FFB6" w:rsidR="00B36BA8" w:rsidRDefault="00A3225F" w:rsidP="00FB251B">
      <w:pPr>
        <w:pStyle w:val="justify"/>
        <w:jc w:val="both"/>
        <w:rPr>
          <w:rFonts w:asciiTheme="minorHAnsi" w:eastAsiaTheme="minorHAnsi" w:hAnsiTheme="minorHAnsi" w:cstheme="minorHAnsi"/>
          <w:sz w:val="22"/>
          <w:szCs w:val="22"/>
          <w:lang w:eastAsia="en-US"/>
        </w:rPr>
      </w:pPr>
      <w:r w:rsidRPr="007A1C6B">
        <w:rPr>
          <w:rFonts w:asciiTheme="minorHAnsi" w:eastAsiaTheme="minorHAnsi" w:hAnsiTheme="minorHAnsi" w:cstheme="minorHAnsi"/>
          <w:sz w:val="22"/>
          <w:szCs w:val="22"/>
          <w:lang w:eastAsia="en-US"/>
        </w:rPr>
        <w:t>„Ei</w:t>
      </w:r>
      <w:r w:rsidR="00961881">
        <w:rPr>
          <w:rFonts w:asciiTheme="minorHAnsi" w:eastAsiaTheme="minorHAnsi" w:hAnsiTheme="minorHAnsi" w:cstheme="minorHAnsi"/>
          <w:sz w:val="22"/>
          <w:szCs w:val="22"/>
          <w:lang w:eastAsia="en-US"/>
        </w:rPr>
        <w:t xml:space="preserve">ne große Hilfe </w:t>
      </w:r>
      <w:r w:rsidR="001F1E15">
        <w:rPr>
          <w:rFonts w:asciiTheme="minorHAnsi" w:eastAsiaTheme="minorHAnsi" w:hAnsiTheme="minorHAnsi" w:cstheme="minorHAnsi"/>
          <w:sz w:val="22"/>
          <w:szCs w:val="22"/>
          <w:lang w:eastAsia="en-US"/>
        </w:rPr>
        <w:t>für kleine und mittelständische Unternehmen</w:t>
      </w:r>
      <w:r w:rsidRPr="007A1C6B">
        <w:rPr>
          <w:rFonts w:asciiTheme="minorHAnsi" w:eastAsiaTheme="minorHAnsi" w:hAnsiTheme="minorHAnsi" w:cstheme="minorHAnsi"/>
          <w:sz w:val="22"/>
          <w:szCs w:val="22"/>
          <w:lang w:eastAsia="en-US"/>
        </w:rPr>
        <w:t>, die gerade in Z</w:t>
      </w:r>
      <w:r w:rsidR="002441CB">
        <w:rPr>
          <w:rFonts w:asciiTheme="minorHAnsi" w:eastAsiaTheme="minorHAnsi" w:hAnsiTheme="minorHAnsi" w:cstheme="minorHAnsi"/>
          <w:sz w:val="22"/>
          <w:szCs w:val="22"/>
          <w:lang w:eastAsia="en-US"/>
        </w:rPr>
        <w:t xml:space="preserve">eiten von COVID-19 auf Beratung und </w:t>
      </w:r>
      <w:r w:rsidRPr="007A1C6B">
        <w:rPr>
          <w:rFonts w:asciiTheme="minorHAnsi" w:eastAsiaTheme="minorHAnsi" w:hAnsiTheme="minorHAnsi" w:cstheme="minorHAnsi"/>
          <w:sz w:val="22"/>
          <w:szCs w:val="22"/>
          <w:lang w:eastAsia="en-US"/>
        </w:rPr>
        <w:t>Unterstützung angewiesen sind</w:t>
      </w:r>
      <w:r w:rsidR="007A1C6B" w:rsidRPr="007A1C6B">
        <w:rPr>
          <w:rFonts w:asciiTheme="minorHAnsi" w:eastAsiaTheme="minorHAnsi" w:hAnsiTheme="minorHAnsi" w:cstheme="minorHAnsi"/>
          <w:sz w:val="22"/>
          <w:szCs w:val="22"/>
          <w:lang w:eastAsia="en-US"/>
        </w:rPr>
        <w:t xml:space="preserve"> und </w:t>
      </w:r>
      <w:r w:rsidR="007A1C6B">
        <w:rPr>
          <w:rFonts w:asciiTheme="minorHAnsi" w:eastAsiaTheme="minorHAnsi" w:hAnsiTheme="minorHAnsi" w:cstheme="minorHAnsi"/>
          <w:sz w:val="22"/>
          <w:szCs w:val="22"/>
          <w:lang w:eastAsia="en-US"/>
        </w:rPr>
        <w:t xml:space="preserve">so </w:t>
      </w:r>
      <w:r w:rsidR="007A1C6B" w:rsidRPr="007A1C6B">
        <w:rPr>
          <w:rFonts w:asciiTheme="minorHAnsi" w:eastAsiaTheme="minorHAnsi" w:hAnsiTheme="minorHAnsi" w:cstheme="minorHAnsi"/>
          <w:sz w:val="22"/>
          <w:szCs w:val="22"/>
          <w:lang w:eastAsia="en-US"/>
        </w:rPr>
        <w:t>die Zeit des Lockdowns nutzen</w:t>
      </w:r>
      <w:r w:rsidR="007A1C6B">
        <w:rPr>
          <w:rFonts w:asciiTheme="minorHAnsi" w:eastAsiaTheme="minorHAnsi" w:hAnsiTheme="minorHAnsi" w:cstheme="minorHAnsi"/>
          <w:sz w:val="22"/>
          <w:szCs w:val="22"/>
          <w:lang w:eastAsia="en-US"/>
        </w:rPr>
        <w:t xml:space="preserve"> können</w:t>
      </w:r>
      <w:r w:rsidR="007A1C6B" w:rsidRPr="007A1C6B">
        <w:rPr>
          <w:rFonts w:asciiTheme="minorHAnsi" w:eastAsiaTheme="minorHAnsi" w:hAnsiTheme="minorHAnsi" w:cstheme="minorHAnsi"/>
          <w:sz w:val="22"/>
          <w:szCs w:val="22"/>
          <w:lang w:eastAsia="en-US"/>
        </w:rPr>
        <w:t>, um ihre Telematiksysteme zu optimieren</w:t>
      </w:r>
      <w:r w:rsidRPr="007A1C6B">
        <w:rPr>
          <w:rFonts w:asciiTheme="minorHAnsi" w:eastAsiaTheme="minorHAnsi" w:hAnsiTheme="minorHAnsi" w:cstheme="minorHAnsi"/>
          <w:sz w:val="22"/>
          <w:szCs w:val="22"/>
          <w:lang w:eastAsia="en-US"/>
        </w:rPr>
        <w:t xml:space="preserve">“, findet </w:t>
      </w:r>
      <w:r w:rsidRPr="007A1C6B">
        <w:rPr>
          <w:rFonts w:asciiTheme="minorHAnsi" w:hAnsiTheme="minorHAnsi" w:cstheme="minorHAnsi"/>
          <w:sz w:val="22"/>
          <w:szCs w:val="22"/>
        </w:rPr>
        <w:t>Susanne Kirsch, Geschäftsführerin bei TACHO</w:t>
      </w:r>
      <w:r w:rsidRPr="00084030">
        <w:rPr>
          <w:rFonts w:asciiTheme="minorHAnsi" w:hAnsiTheme="minorHAnsi" w:cstheme="minorHAnsi"/>
          <w:i/>
          <w:sz w:val="22"/>
          <w:szCs w:val="22"/>
        </w:rPr>
        <w:t>fresh</w:t>
      </w:r>
      <w:r w:rsidRPr="007A1C6B">
        <w:rPr>
          <w:rFonts w:asciiTheme="minorHAnsi" w:hAnsiTheme="minorHAnsi" w:cstheme="minorHAnsi"/>
          <w:iCs/>
          <w:sz w:val="22"/>
          <w:szCs w:val="22"/>
        </w:rPr>
        <w:t xml:space="preserve">. </w:t>
      </w:r>
      <w:r w:rsidRPr="007A1C6B">
        <w:rPr>
          <w:rFonts w:asciiTheme="minorHAnsi" w:eastAsiaTheme="minorHAnsi" w:hAnsiTheme="minorHAnsi" w:cstheme="minorHAnsi"/>
          <w:sz w:val="22"/>
          <w:szCs w:val="22"/>
          <w:lang w:eastAsia="en-US"/>
        </w:rPr>
        <w:t xml:space="preserve"> </w:t>
      </w:r>
    </w:p>
    <w:p w14:paraId="09DFB967" w14:textId="72439FB7" w:rsidR="00545225" w:rsidRDefault="007A1C6B" w:rsidP="00545225">
      <w:pPr>
        <w:pStyle w:val="justify"/>
        <w:jc w:val="both"/>
        <w:rPr>
          <w:rFonts w:asciiTheme="minorHAnsi" w:eastAsiaTheme="minorHAnsi" w:hAnsiTheme="minorHAnsi" w:cstheme="minorBidi"/>
          <w:sz w:val="22"/>
          <w:szCs w:val="22"/>
          <w:lang w:eastAsia="en-US"/>
        </w:rPr>
      </w:pPr>
      <w:r w:rsidRPr="007A1C6B">
        <w:rPr>
          <w:rFonts w:asciiTheme="minorHAnsi" w:hAnsiTheme="minorHAnsi" w:cstheme="minorHAnsi"/>
          <w:sz w:val="22"/>
          <w:szCs w:val="22"/>
        </w:rPr>
        <w:t>Seit dem 7. Januar 2021 läuft</w:t>
      </w:r>
      <w:r>
        <w:rPr>
          <w:rFonts w:asciiTheme="minorHAnsi" w:hAnsiTheme="minorHAnsi" w:cstheme="minorHAnsi"/>
          <w:sz w:val="22"/>
          <w:szCs w:val="22"/>
        </w:rPr>
        <w:t xml:space="preserve"> die neue Antragsfrist für 2021. </w:t>
      </w:r>
      <w:r w:rsidR="00545225" w:rsidRPr="00A3225F">
        <w:rPr>
          <w:rFonts w:asciiTheme="minorHAnsi" w:eastAsiaTheme="minorHAnsi" w:hAnsiTheme="minorHAnsi" w:cstheme="minorBidi"/>
          <w:sz w:val="22"/>
          <w:szCs w:val="22"/>
          <w:lang w:eastAsia="en-US"/>
        </w:rPr>
        <w:t>Der unternehmensbezogene Förderhöchstbetrag je Antragsteller ergibt sich aus dem Fördersatz je schweres Nutzfahrzeug von bis zu 2.000 Euro. Jedes Unternehmen</w:t>
      </w:r>
      <w:r w:rsidR="00961881">
        <w:rPr>
          <w:rFonts w:asciiTheme="minorHAnsi" w:eastAsiaTheme="minorHAnsi" w:hAnsiTheme="minorHAnsi" w:cstheme="minorBidi"/>
          <w:sz w:val="22"/>
          <w:szCs w:val="22"/>
          <w:lang w:eastAsia="en-US"/>
        </w:rPr>
        <w:t xml:space="preserve"> ist antragsberechtigt</w:t>
      </w:r>
      <w:r w:rsidR="00545225" w:rsidRPr="00A3225F">
        <w:rPr>
          <w:rFonts w:asciiTheme="minorHAnsi" w:eastAsiaTheme="minorHAnsi" w:hAnsiTheme="minorHAnsi" w:cstheme="minorBidi"/>
          <w:sz w:val="22"/>
          <w:szCs w:val="22"/>
          <w:lang w:eastAsia="en-US"/>
        </w:rPr>
        <w:t xml:space="preserve">, das zum Zeitpunkt der Antragstellung Güterkraftverkehr im Sinne des § 1 Güterkraftverkehrsgesetz (GüKG) betreibt und Eigentümer oder Halter mindestens eines in der Bundesrepublik Deutschland zum Verkehr auf öffentlichen Straßen zugelassenen mautpflichtigen schweren Nutzfahrzeuges </w:t>
      </w:r>
      <w:r w:rsidR="00961881">
        <w:rPr>
          <w:rFonts w:asciiTheme="minorHAnsi" w:eastAsiaTheme="minorHAnsi" w:hAnsiTheme="minorHAnsi" w:cstheme="minorBidi"/>
          <w:sz w:val="22"/>
          <w:szCs w:val="22"/>
          <w:lang w:eastAsia="en-US"/>
        </w:rPr>
        <w:t>ist</w:t>
      </w:r>
      <w:r w:rsidR="00545225" w:rsidRPr="00A3225F">
        <w:rPr>
          <w:rFonts w:asciiTheme="minorHAnsi" w:eastAsiaTheme="minorHAnsi" w:hAnsiTheme="minorHAnsi" w:cstheme="minorBidi"/>
          <w:sz w:val="22"/>
          <w:szCs w:val="22"/>
          <w:lang w:eastAsia="en-US"/>
        </w:rPr>
        <w:t>. Der Förderhöchstbetrag beträgt 33.000 Euro.</w:t>
      </w:r>
    </w:p>
    <w:p w14:paraId="741DF397" w14:textId="3C16DE78" w:rsidR="001F1E15" w:rsidRPr="0065005B" w:rsidRDefault="001F1E15" w:rsidP="00545225">
      <w:pPr>
        <w:pStyle w:val="justify"/>
        <w:jc w:val="both"/>
        <w:rPr>
          <w:rFonts w:asciiTheme="minorHAnsi" w:eastAsiaTheme="minorHAnsi" w:hAnsiTheme="minorHAnsi" w:cstheme="minorBidi"/>
          <w:b/>
          <w:sz w:val="28"/>
          <w:szCs w:val="28"/>
          <w:lang w:eastAsia="en-US"/>
        </w:rPr>
      </w:pPr>
      <w:r w:rsidRPr="0065005B">
        <w:rPr>
          <w:rFonts w:asciiTheme="minorHAnsi" w:eastAsiaTheme="minorHAnsi" w:hAnsiTheme="minorHAnsi" w:cstheme="minorBidi"/>
          <w:b/>
          <w:sz w:val="28"/>
          <w:szCs w:val="28"/>
          <w:lang w:eastAsia="en-US"/>
        </w:rPr>
        <w:t>Gute Beratung von der Antragstellung bis zur Implementierung</w:t>
      </w:r>
    </w:p>
    <w:p w14:paraId="2BC34892" w14:textId="53A9D3B0" w:rsidR="00E053D2" w:rsidRPr="000A38A4" w:rsidRDefault="007A1C6B" w:rsidP="000A38A4">
      <w:pPr>
        <w:pStyle w:val="justify"/>
        <w:jc w:val="both"/>
        <w:rPr>
          <w:rFonts w:asciiTheme="minorHAnsi" w:hAnsiTheme="minorHAnsi" w:cstheme="minorHAnsi"/>
          <w:sz w:val="22"/>
          <w:szCs w:val="22"/>
        </w:rPr>
      </w:pPr>
      <w:r w:rsidRPr="000A38A4">
        <w:rPr>
          <w:rFonts w:asciiTheme="minorHAnsi" w:hAnsiTheme="minorHAnsi" w:cstheme="minorHAnsi"/>
          <w:sz w:val="22"/>
          <w:szCs w:val="22"/>
        </w:rPr>
        <w:t>„E</w:t>
      </w:r>
      <w:r w:rsidR="00332A50">
        <w:rPr>
          <w:rFonts w:asciiTheme="minorHAnsi" w:hAnsiTheme="minorHAnsi" w:cstheme="minorHAnsi"/>
          <w:sz w:val="22"/>
          <w:szCs w:val="22"/>
        </w:rPr>
        <w:t xml:space="preserve">ine </w:t>
      </w:r>
      <w:r w:rsidRPr="000A38A4">
        <w:rPr>
          <w:rFonts w:asciiTheme="minorHAnsi" w:hAnsiTheme="minorHAnsi" w:cstheme="minorHAnsi"/>
          <w:sz w:val="22"/>
          <w:szCs w:val="22"/>
        </w:rPr>
        <w:t xml:space="preserve">gute Gelegenheit, dieses wichtige Förderprogramm am konkreten Beispiel eines KMU, der Siegra Baubedarf GmbH mit 13 LKWs </w:t>
      </w:r>
      <w:r w:rsidR="000A38A4" w:rsidRPr="000A38A4">
        <w:rPr>
          <w:rFonts w:asciiTheme="minorHAnsi" w:hAnsiTheme="minorHAnsi" w:cstheme="minorHAnsi"/>
          <w:sz w:val="22"/>
          <w:szCs w:val="22"/>
        </w:rPr>
        <w:t xml:space="preserve">über </w:t>
      </w:r>
      <w:r w:rsidRPr="000A38A4">
        <w:rPr>
          <w:rFonts w:asciiTheme="minorHAnsi" w:hAnsiTheme="minorHAnsi" w:cstheme="minorHAnsi"/>
          <w:sz w:val="22"/>
          <w:szCs w:val="22"/>
        </w:rPr>
        <w:t xml:space="preserve">7,5t </w:t>
      </w:r>
      <w:r w:rsidR="000A38A4" w:rsidRPr="000A38A4">
        <w:rPr>
          <w:rFonts w:asciiTheme="minorHAnsi" w:hAnsiTheme="minorHAnsi" w:cstheme="minorHAnsi"/>
          <w:sz w:val="22"/>
          <w:szCs w:val="22"/>
        </w:rPr>
        <w:t xml:space="preserve">im hessischen Hüttenberg, </w:t>
      </w:r>
      <w:r w:rsidRPr="000A38A4">
        <w:rPr>
          <w:rFonts w:asciiTheme="minorHAnsi" w:hAnsiTheme="minorHAnsi" w:cstheme="minorHAnsi"/>
          <w:sz w:val="22"/>
          <w:szCs w:val="22"/>
        </w:rPr>
        <w:t xml:space="preserve">einmal vorzustellen“, erläutert Susanne </w:t>
      </w:r>
      <w:r w:rsidRPr="00C57AB4">
        <w:rPr>
          <w:rFonts w:asciiTheme="minorHAnsi" w:hAnsiTheme="minorHAnsi" w:cstheme="minorHAnsi"/>
          <w:sz w:val="22"/>
          <w:szCs w:val="22"/>
        </w:rPr>
        <w:t xml:space="preserve">Kirsch. Gemeinsam mit </w:t>
      </w:r>
      <w:r w:rsidR="00F4187D" w:rsidRPr="00C57AB4">
        <w:rPr>
          <w:rFonts w:asciiTheme="minorHAnsi" w:hAnsiTheme="minorHAnsi" w:cstheme="minorHAnsi"/>
          <w:sz w:val="22"/>
          <w:szCs w:val="22"/>
        </w:rPr>
        <w:t>TACHO</w:t>
      </w:r>
      <w:r w:rsidR="00F4187D" w:rsidRPr="00084030">
        <w:rPr>
          <w:rFonts w:asciiTheme="minorHAnsi" w:hAnsiTheme="minorHAnsi" w:cstheme="minorHAnsi"/>
          <w:i/>
          <w:iCs/>
          <w:sz w:val="22"/>
          <w:szCs w:val="22"/>
        </w:rPr>
        <w:t>fresh</w:t>
      </w:r>
      <w:r w:rsidR="00F4187D" w:rsidRPr="00C57AB4">
        <w:rPr>
          <w:rFonts w:asciiTheme="minorHAnsi" w:hAnsiTheme="minorHAnsi" w:cstheme="minorHAnsi"/>
          <w:sz w:val="22"/>
          <w:szCs w:val="22"/>
        </w:rPr>
        <w:t xml:space="preserve"> Vertriebspartner </w:t>
      </w:r>
      <w:r w:rsidRPr="00C57AB4">
        <w:rPr>
          <w:rFonts w:asciiTheme="minorHAnsi" w:hAnsiTheme="minorHAnsi" w:cstheme="minorHAnsi"/>
          <w:sz w:val="22"/>
          <w:szCs w:val="22"/>
        </w:rPr>
        <w:t xml:space="preserve">Jean Baudys, Geschäftsführer der BBG Automotive GmbH, </w:t>
      </w:r>
      <w:r w:rsidR="00545225" w:rsidRPr="00C57AB4">
        <w:rPr>
          <w:rFonts w:asciiTheme="minorHAnsi" w:hAnsiTheme="minorHAnsi" w:cstheme="minorHAnsi"/>
          <w:sz w:val="22"/>
          <w:szCs w:val="22"/>
        </w:rPr>
        <w:t xml:space="preserve">hat sie </w:t>
      </w:r>
      <w:r w:rsidR="000A38A4" w:rsidRPr="00C57AB4">
        <w:rPr>
          <w:rFonts w:asciiTheme="minorHAnsi" w:hAnsiTheme="minorHAnsi" w:cstheme="minorHAnsi"/>
          <w:sz w:val="22"/>
          <w:szCs w:val="22"/>
        </w:rPr>
        <w:t xml:space="preserve">das </w:t>
      </w:r>
      <w:r w:rsidR="00545225" w:rsidRPr="00C57AB4">
        <w:rPr>
          <w:rFonts w:asciiTheme="minorHAnsi" w:hAnsiTheme="minorHAnsi" w:cstheme="minorHAnsi"/>
          <w:sz w:val="22"/>
          <w:szCs w:val="22"/>
        </w:rPr>
        <w:t xml:space="preserve">Bauunternehmen bei der Antragsstellung beraten und begleitet. </w:t>
      </w:r>
      <w:r w:rsidR="00E053D2" w:rsidRPr="00C57AB4">
        <w:rPr>
          <w:rFonts w:asciiTheme="minorHAnsi" w:hAnsiTheme="minorHAnsi" w:cstheme="minorHAnsi"/>
          <w:sz w:val="22"/>
          <w:szCs w:val="22"/>
        </w:rPr>
        <w:t xml:space="preserve"> </w:t>
      </w:r>
      <w:r w:rsidR="00B70861" w:rsidRPr="00C57AB4">
        <w:rPr>
          <w:rFonts w:asciiTheme="minorHAnsi" w:hAnsiTheme="minorHAnsi" w:cstheme="minorHAnsi"/>
          <w:sz w:val="22"/>
          <w:szCs w:val="22"/>
        </w:rPr>
        <w:t>„Das Projekt bei der Siegra Baubedarf</w:t>
      </w:r>
      <w:r w:rsidR="00B70861" w:rsidRPr="000A38A4">
        <w:rPr>
          <w:rFonts w:asciiTheme="minorHAnsi" w:hAnsiTheme="minorHAnsi" w:cstheme="minorHAnsi"/>
          <w:sz w:val="22"/>
          <w:szCs w:val="22"/>
        </w:rPr>
        <w:t xml:space="preserve"> zeigt exemplarisch, wie wichtig ein guter</w:t>
      </w:r>
      <w:r w:rsidR="00FB251B" w:rsidRPr="000A38A4">
        <w:rPr>
          <w:rFonts w:asciiTheme="minorHAnsi" w:hAnsiTheme="minorHAnsi" w:cstheme="minorHAnsi"/>
          <w:sz w:val="22"/>
          <w:szCs w:val="22"/>
        </w:rPr>
        <w:t xml:space="preserve"> Beratungs-Service </w:t>
      </w:r>
      <w:r w:rsidR="00B70861" w:rsidRPr="000A38A4">
        <w:rPr>
          <w:rFonts w:asciiTheme="minorHAnsi" w:hAnsiTheme="minorHAnsi" w:cstheme="minorHAnsi"/>
          <w:sz w:val="22"/>
          <w:szCs w:val="22"/>
        </w:rPr>
        <w:t xml:space="preserve">für unsere </w:t>
      </w:r>
      <w:r w:rsidR="002072D1" w:rsidRPr="000A38A4">
        <w:rPr>
          <w:rFonts w:asciiTheme="minorHAnsi" w:hAnsiTheme="minorHAnsi" w:cstheme="minorHAnsi"/>
          <w:sz w:val="22"/>
          <w:szCs w:val="22"/>
        </w:rPr>
        <w:t xml:space="preserve">mittelständischen </w:t>
      </w:r>
      <w:r w:rsidR="00493350">
        <w:rPr>
          <w:rFonts w:asciiTheme="minorHAnsi" w:hAnsiTheme="minorHAnsi" w:cstheme="minorHAnsi"/>
          <w:sz w:val="22"/>
          <w:szCs w:val="22"/>
        </w:rPr>
        <w:t>Kunden beim Thema De-M</w:t>
      </w:r>
      <w:r w:rsidR="00B70861" w:rsidRPr="000A38A4">
        <w:rPr>
          <w:rFonts w:asciiTheme="minorHAnsi" w:hAnsiTheme="minorHAnsi" w:cstheme="minorHAnsi"/>
          <w:sz w:val="22"/>
          <w:szCs w:val="22"/>
        </w:rPr>
        <w:t xml:space="preserve">inimis ist“, ergänzt Jean Baudys, Geschäftsführer der BBG Automotive GmbH. </w:t>
      </w:r>
      <w:r w:rsidR="001B20FD" w:rsidRPr="000A38A4">
        <w:rPr>
          <w:rFonts w:asciiTheme="minorHAnsi" w:hAnsiTheme="minorHAnsi" w:cstheme="minorHAnsi"/>
          <w:sz w:val="22"/>
          <w:szCs w:val="22"/>
        </w:rPr>
        <w:t>„</w:t>
      </w:r>
      <w:r w:rsidR="002072D1" w:rsidRPr="000A38A4">
        <w:rPr>
          <w:rFonts w:asciiTheme="minorHAnsi" w:hAnsiTheme="minorHAnsi" w:cstheme="minorHAnsi"/>
          <w:sz w:val="22"/>
          <w:szCs w:val="22"/>
        </w:rPr>
        <w:t xml:space="preserve">Viele Kunden befürchten zunächst, dass der Aufwand zu hoch und das Antragsverfahren zu komplex wären.“ </w:t>
      </w:r>
      <w:r w:rsidR="00B70861" w:rsidRPr="000A38A4">
        <w:rPr>
          <w:rFonts w:asciiTheme="minorHAnsi" w:hAnsiTheme="minorHAnsi" w:cstheme="minorHAnsi"/>
          <w:sz w:val="22"/>
          <w:szCs w:val="22"/>
        </w:rPr>
        <w:t xml:space="preserve"> </w:t>
      </w:r>
    </w:p>
    <w:p w14:paraId="2D380ACC" w14:textId="4C0900EB" w:rsidR="001B20FD" w:rsidRPr="00A3225F" w:rsidRDefault="001B20FD" w:rsidP="00390E6C">
      <w:pPr>
        <w:jc w:val="both"/>
      </w:pPr>
      <w:r w:rsidRPr="00A3225F">
        <w:t>Im Frühjahr 2020 hatte sich die Siegra Baubedarf GmbH bei der BBG erstmals nach einer Remote Download Lösung für das Auslesen der Massenspeicherdaten des dig</w:t>
      </w:r>
      <w:r w:rsidR="0065005B">
        <w:t>italen Tachografen bei seinen dreizehn</w:t>
      </w:r>
      <w:r w:rsidRPr="00A3225F">
        <w:t xml:space="preserve"> LKWs erkundigt. „Dann kam Corona daz</w:t>
      </w:r>
      <w:r w:rsidR="00E84F8C" w:rsidRPr="00A3225F">
        <w:t>wischen</w:t>
      </w:r>
      <w:r w:rsidRPr="00A3225F">
        <w:t xml:space="preserve">“, erinnert sich Herr Lehnhart, </w:t>
      </w:r>
      <w:r w:rsidR="0019134C" w:rsidRPr="00A3225F">
        <w:t>Geschäftsführer</w:t>
      </w:r>
      <w:r w:rsidRPr="00A3225F">
        <w:t xml:space="preserve"> bei der Siegra. „Wir hätten die Investition für unsere Remote Download Lösung verschoben, </w:t>
      </w:r>
      <w:r w:rsidR="00E84F8C" w:rsidRPr="00A3225F">
        <w:t xml:space="preserve">wenn wir </w:t>
      </w:r>
      <w:r w:rsidR="0031246F">
        <w:t xml:space="preserve">nicht von der BBG Informationen über die </w:t>
      </w:r>
      <w:r w:rsidR="00493350">
        <w:t>Fördermöglichkeiten des De-M</w:t>
      </w:r>
      <w:r w:rsidR="00E84F8C" w:rsidRPr="00A3225F">
        <w:t>inim</w:t>
      </w:r>
      <w:r w:rsidR="0031246F">
        <w:t>is Programms erhalten hätten</w:t>
      </w:r>
      <w:r w:rsidR="00E84F8C" w:rsidRPr="00A3225F">
        <w:t xml:space="preserve">.“ </w:t>
      </w:r>
      <w:r w:rsidRPr="00A3225F">
        <w:t xml:space="preserve"> </w:t>
      </w:r>
    </w:p>
    <w:p w14:paraId="0DAA9C6C" w14:textId="6316912A" w:rsidR="008D484E" w:rsidRDefault="00E84F8C" w:rsidP="00390E6C">
      <w:pPr>
        <w:jc w:val="both"/>
      </w:pPr>
      <w:r w:rsidRPr="00A3225F">
        <w:lastRenderedPageBreak/>
        <w:t xml:space="preserve">Im Juni 2020 war es dann soweit, der </w:t>
      </w:r>
      <w:r w:rsidR="002072D1" w:rsidRPr="00A3225F">
        <w:t>Z</w:t>
      </w:r>
      <w:r w:rsidRPr="00A3225F">
        <w:t xml:space="preserve">uwendungsbescheid der BAG lag vor, und die Installation der Telematik-Einheiten für den Remote Download in den Fahrzeugen konnte beginnen. </w:t>
      </w:r>
      <w:r w:rsidR="00E32056">
        <w:t>In enger Kooperation mit TACHO</w:t>
      </w:r>
      <w:r w:rsidR="00E32056" w:rsidRPr="00084030">
        <w:rPr>
          <w:i/>
          <w:iCs/>
        </w:rPr>
        <w:t xml:space="preserve">fresh </w:t>
      </w:r>
      <w:r w:rsidRPr="00A3225F">
        <w:t>wurden die Einheiten</w:t>
      </w:r>
      <w:r w:rsidR="00E32056">
        <w:t xml:space="preserve"> sukzessiv</w:t>
      </w:r>
      <w:r w:rsidR="00E32056" w:rsidRPr="00A3225F">
        <w:t xml:space="preserve"> </w:t>
      </w:r>
      <w:r w:rsidR="00E32056">
        <w:t>in die Fahrzeuge durch BBG-Techniker eingebaut</w:t>
      </w:r>
      <w:r w:rsidRPr="00A3225F">
        <w:t xml:space="preserve">. </w:t>
      </w:r>
      <w:r w:rsidR="007E251C" w:rsidRPr="00A3225F">
        <w:t>„</w:t>
      </w:r>
      <w:r w:rsidRPr="00A3225F">
        <w:t>Heute kann ich alle meine Fahrzeug- und Fahrerdaten bequem vom Schreibtisch aus auslesen und damit den gesetzliche</w:t>
      </w:r>
      <w:r w:rsidR="000A38A4">
        <w:t>n Anforderungen vollauf genügen</w:t>
      </w:r>
      <w:r w:rsidRPr="00A3225F">
        <w:t>“</w:t>
      </w:r>
      <w:r w:rsidR="000A38A4">
        <w:t>,</w:t>
      </w:r>
      <w:r w:rsidRPr="00A3225F">
        <w:t xml:space="preserve"> freut sich Herr Lehnhart. „</w:t>
      </w:r>
      <w:r w:rsidR="002072D1" w:rsidRPr="00A3225F">
        <w:t>Zusammenfassend bleibt festzuhalten, dass wir verm</w:t>
      </w:r>
      <w:r w:rsidR="00E32056">
        <w:t xml:space="preserve">utlich ohne </w:t>
      </w:r>
      <w:r w:rsidR="00332A50">
        <w:t xml:space="preserve">die </w:t>
      </w:r>
      <w:r w:rsidR="00E32056">
        <w:t xml:space="preserve">Unterstützung </w:t>
      </w:r>
      <w:r w:rsidR="00E32056" w:rsidRPr="009004CD">
        <w:t xml:space="preserve">von </w:t>
      </w:r>
      <w:r w:rsidR="001F1E15" w:rsidRPr="009004CD">
        <w:t xml:space="preserve">BBG und </w:t>
      </w:r>
      <w:r w:rsidR="00E32056" w:rsidRPr="009004CD">
        <w:t>TA</w:t>
      </w:r>
      <w:r w:rsidR="001F1E15" w:rsidRPr="009004CD">
        <w:t>CHO</w:t>
      </w:r>
      <w:r w:rsidR="001F1E15" w:rsidRPr="00084030">
        <w:rPr>
          <w:i/>
          <w:iCs/>
        </w:rPr>
        <w:t>fresh</w:t>
      </w:r>
      <w:r w:rsidR="001F1E15" w:rsidRPr="009004CD">
        <w:t xml:space="preserve"> </w:t>
      </w:r>
      <w:r w:rsidR="002072D1" w:rsidRPr="009004CD">
        <w:t>keine</w:t>
      </w:r>
      <w:r w:rsidR="002072D1" w:rsidRPr="00A3225F">
        <w:t xml:space="preserve"> Förderu</w:t>
      </w:r>
      <w:r w:rsidR="001F1E15">
        <w:t>ng beantragt hätten. Mit unserem Beispiel möchten</w:t>
      </w:r>
      <w:r w:rsidR="002072D1" w:rsidRPr="00A3225F">
        <w:t xml:space="preserve"> wir anderen mittelständischen Unternehmen Mut</w:t>
      </w:r>
      <w:r w:rsidR="0065005B">
        <w:t xml:space="preserve"> machen, die Fördermittel</w:t>
      </w:r>
      <w:r w:rsidR="002072D1" w:rsidRPr="00A3225F">
        <w:t xml:space="preserve"> von </w:t>
      </w:r>
      <w:r w:rsidR="00F87BBA">
        <w:t>De-m</w:t>
      </w:r>
      <w:r w:rsidR="00332A50">
        <w:t>inimis in Anspruch zu nehmen</w:t>
      </w:r>
      <w:r w:rsidR="002072D1" w:rsidRPr="00A3225F">
        <w:t xml:space="preserve">. </w:t>
      </w:r>
      <w:r w:rsidR="003476A2" w:rsidRPr="00A3225F">
        <w:t>Antrag, Bewilligung und Abrechnung sind</w:t>
      </w:r>
      <w:r w:rsidR="008B0356" w:rsidRPr="00A3225F">
        <w:t xml:space="preserve"> </w:t>
      </w:r>
      <w:r w:rsidR="003476A2" w:rsidRPr="00A3225F">
        <w:t>einfacher als gedacht</w:t>
      </w:r>
      <w:r w:rsidR="003476A2">
        <w:t xml:space="preserve">. </w:t>
      </w:r>
      <w:r w:rsidR="002072D1">
        <w:t xml:space="preserve">Die Verlängerung von De-Minimis für 2021 wollen wir </w:t>
      </w:r>
      <w:r w:rsidR="002072D1" w:rsidRPr="009004CD">
        <w:t>nutz</w:t>
      </w:r>
      <w:r w:rsidRPr="009004CD">
        <w:t>en</w:t>
      </w:r>
      <w:r w:rsidR="002072D1" w:rsidRPr="009004CD">
        <w:t xml:space="preserve">, um weiter </w:t>
      </w:r>
      <w:r w:rsidR="00332A50" w:rsidRPr="009004CD">
        <w:t xml:space="preserve">in unsere Telematik </w:t>
      </w:r>
      <w:r w:rsidR="002072D1" w:rsidRPr="009004CD">
        <w:t>zu investieren</w:t>
      </w:r>
      <w:r w:rsidRPr="009004CD">
        <w:t>.“</w:t>
      </w:r>
    </w:p>
    <w:p w14:paraId="306557FE" w14:textId="77777777" w:rsidR="00E03F71" w:rsidRDefault="00E03F71" w:rsidP="00390E6C">
      <w:pPr>
        <w:jc w:val="both"/>
        <w:rPr>
          <w:b/>
          <w:bCs/>
        </w:rPr>
      </w:pPr>
    </w:p>
    <w:p w14:paraId="14388EB5" w14:textId="547B25F5" w:rsidR="00C00B5E" w:rsidRPr="00C00B5E" w:rsidRDefault="00C00B5E" w:rsidP="00390E6C">
      <w:pPr>
        <w:jc w:val="both"/>
        <w:rPr>
          <w:b/>
          <w:bCs/>
        </w:rPr>
      </w:pPr>
      <w:r w:rsidRPr="00C00B5E">
        <w:rPr>
          <w:b/>
          <w:bCs/>
        </w:rPr>
        <w:t>Über TACHO</w:t>
      </w:r>
      <w:r w:rsidRPr="00A71687">
        <w:rPr>
          <w:b/>
          <w:bCs/>
          <w:i/>
        </w:rPr>
        <w:t>fresh</w:t>
      </w:r>
    </w:p>
    <w:p w14:paraId="146FB486" w14:textId="52306D90" w:rsidR="00390E6C" w:rsidRDefault="00C00B5E" w:rsidP="00887F16">
      <w:pPr>
        <w:pStyle w:val="StandardWeb"/>
        <w:jc w:val="both"/>
        <w:rPr>
          <w:rFonts w:asciiTheme="minorHAnsi" w:eastAsiaTheme="minorHAnsi" w:hAnsiTheme="minorHAnsi" w:cstheme="minorBidi"/>
          <w:sz w:val="22"/>
          <w:szCs w:val="22"/>
          <w:lang w:eastAsia="en-US"/>
        </w:rPr>
      </w:pPr>
      <w:r w:rsidRPr="00C00B5E">
        <w:rPr>
          <w:rFonts w:asciiTheme="minorHAnsi" w:eastAsiaTheme="minorHAnsi" w:hAnsiTheme="minorHAnsi" w:cstheme="minorBidi"/>
          <w:sz w:val="22"/>
          <w:szCs w:val="22"/>
          <w:lang w:eastAsia="en-US"/>
        </w:rPr>
        <w:t>Das in Wildau bei Berl</w:t>
      </w:r>
      <w:r w:rsidR="004A70F0">
        <w:rPr>
          <w:rFonts w:asciiTheme="minorHAnsi" w:eastAsiaTheme="minorHAnsi" w:hAnsiTheme="minorHAnsi" w:cstheme="minorBidi"/>
          <w:sz w:val="22"/>
          <w:szCs w:val="22"/>
          <w:lang w:eastAsia="en-US"/>
        </w:rPr>
        <w:t>in beheimatete Unternehmen TACHO</w:t>
      </w:r>
      <w:r w:rsidRPr="00084030">
        <w:rPr>
          <w:rFonts w:asciiTheme="minorHAnsi" w:eastAsiaTheme="minorHAnsi" w:hAnsiTheme="minorHAnsi" w:cstheme="minorBidi"/>
          <w:i/>
          <w:sz w:val="22"/>
          <w:szCs w:val="22"/>
          <w:lang w:eastAsia="en-US"/>
        </w:rPr>
        <w:t>fresh</w:t>
      </w:r>
      <w:r w:rsidRPr="00C00B5E">
        <w:rPr>
          <w:rFonts w:asciiTheme="minorHAnsi" w:eastAsiaTheme="minorHAnsi" w:hAnsiTheme="minorHAnsi" w:cstheme="minorBidi"/>
          <w:sz w:val="22"/>
          <w:szCs w:val="22"/>
          <w:lang w:eastAsia="en-US"/>
        </w:rPr>
        <w:t xml:space="preserve"> entwickelt seit 25 Jahren </w:t>
      </w:r>
      <w:r w:rsidR="00390F94">
        <w:rPr>
          <w:rFonts w:asciiTheme="minorHAnsi" w:eastAsiaTheme="minorHAnsi" w:hAnsiTheme="minorHAnsi" w:cstheme="minorBidi"/>
          <w:sz w:val="22"/>
          <w:szCs w:val="22"/>
          <w:lang w:eastAsia="en-US"/>
        </w:rPr>
        <w:t>L</w:t>
      </w:r>
      <w:r w:rsidRPr="00C00B5E">
        <w:rPr>
          <w:rFonts w:asciiTheme="minorHAnsi" w:eastAsiaTheme="minorHAnsi" w:hAnsiTheme="minorHAnsi" w:cstheme="minorBidi"/>
          <w:sz w:val="22"/>
          <w:szCs w:val="22"/>
          <w:lang w:eastAsia="en-US"/>
        </w:rPr>
        <w:t>ösungen für die Transport- und Logistikbranche.</w:t>
      </w:r>
      <w:r>
        <w:rPr>
          <w:rFonts w:asciiTheme="minorHAnsi" w:eastAsiaTheme="minorHAnsi" w:hAnsiTheme="minorHAnsi" w:cstheme="minorBidi"/>
          <w:sz w:val="22"/>
          <w:szCs w:val="22"/>
          <w:lang w:eastAsia="en-US"/>
        </w:rPr>
        <w:t xml:space="preserve"> </w:t>
      </w:r>
      <w:r w:rsidRPr="00C00B5E">
        <w:rPr>
          <w:rFonts w:asciiTheme="minorHAnsi" w:eastAsiaTheme="minorHAnsi" w:hAnsiTheme="minorHAnsi" w:cstheme="minorBidi"/>
          <w:sz w:val="22"/>
          <w:szCs w:val="22"/>
          <w:lang w:eastAsia="en-US"/>
        </w:rPr>
        <w:t>Mit dem Aufkommen des Digitalen Tachographen ha</w:t>
      </w:r>
      <w:r>
        <w:rPr>
          <w:rFonts w:asciiTheme="minorHAnsi" w:eastAsiaTheme="minorHAnsi" w:hAnsiTheme="minorHAnsi" w:cstheme="minorBidi"/>
          <w:sz w:val="22"/>
          <w:szCs w:val="22"/>
          <w:lang w:eastAsia="en-US"/>
        </w:rPr>
        <w:t>t TACHO</w:t>
      </w:r>
      <w:r w:rsidRPr="00F3260D">
        <w:rPr>
          <w:rFonts w:asciiTheme="minorHAnsi" w:eastAsiaTheme="minorHAnsi" w:hAnsiTheme="minorHAnsi" w:cstheme="minorBidi"/>
          <w:iCs/>
          <w:sz w:val="22"/>
          <w:szCs w:val="22"/>
          <w:lang w:eastAsia="en-US"/>
        </w:rPr>
        <w:t>fresh</w:t>
      </w:r>
      <w:r w:rsidRPr="00C00B5E">
        <w:rPr>
          <w:rFonts w:asciiTheme="minorHAnsi" w:eastAsiaTheme="minorHAnsi" w:hAnsiTheme="minorHAnsi" w:cstheme="minorBidi"/>
          <w:sz w:val="22"/>
          <w:szCs w:val="22"/>
          <w:lang w:eastAsia="en-US"/>
        </w:rPr>
        <w:t xml:space="preserve"> eine strategische Neuausrichtung </w:t>
      </w:r>
      <w:r>
        <w:rPr>
          <w:rFonts w:asciiTheme="minorHAnsi" w:eastAsiaTheme="minorHAnsi" w:hAnsiTheme="minorHAnsi" w:cstheme="minorBidi"/>
          <w:sz w:val="22"/>
          <w:szCs w:val="22"/>
          <w:lang w:eastAsia="en-US"/>
        </w:rPr>
        <w:t xml:space="preserve">mit dem </w:t>
      </w:r>
      <w:r w:rsidRPr="00C00B5E">
        <w:rPr>
          <w:rFonts w:asciiTheme="minorHAnsi" w:eastAsiaTheme="minorHAnsi" w:hAnsiTheme="minorHAnsi" w:cstheme="minorBidi"/>
          <w:sz w:val="22"/>
          <w:szCs w:val="22"/>
          <w:lang w:eastAsia="en-US"/>
        </w:rPr>
        <w:t>Ziel</w:t>
      </w:r>
      <w:r>
        <w:rPr>
          <w:rFonts w:asciiTheme="minorHAnsi" w:eastAsiaTheme="minorHAnsi" w:hAnsiTheme="minorHAnsi" w:cstheme="minorBidi"/>
          <w:sz w:val="22"/>
          <w:szCs w:val="22"/>
          <w:lang w:eastAsia="en-US"/>
        </w:rPr>
        <w:t xml:space="preserve"> vorgenommen,</w:t>
      </w:r>
      <w:r w:rsidRPr="00C00B5E">
        <w:rPr>
          <w:rFonts w:asciiTheme="minorHAnsi" w:eastAsiaTheme="minorHAnsi" w:hAnsiTheme="minorHAnsi" w:cstheme="minorBidi"/>
          <w:sz w:val="22"/>
          <w:szCs w:val="22"/>
          <w:lang w:eastAsia="en-US"/>
        </w:rPr>
        <w:t xml:space="preserve"> in Europa das Kompetenzzentrum für </w:t>
      </w:r>
      <w:r w:rsidR="001E3CB5">
        <w:rPr>
          <w:rFonts w:asciiTheme="minorHAnsi" w:eastAsiaTheme="minorHAnsi" w:hAnsiTheme="minorHAnsi" w:cstheme="minorBidi"/>
          <w:sz w:val="22"/>
          <w:szCs w:val="22"/>
          <w:lang w:eastAsia="en-US"/>
        </w:rPr>
        <w:t>Remote Download und Tachografen</w:t>
      </w:r>
      <w:r w:rsidRPr="00C00B5E">
        <w:rPr>
          <w:rFonts w:asciiTheme="minorHAnsi" w:eastAsiaTheme="minorHAnsi" w:hAnsiTheme="minorHAnsi" w:cstheme="minorBidi"/>
          <w:sz w:val="22"/>
          <w:szCs w:val="22"/>
          <w:lang w:eastAsia="en-US"/>
        </w:rPr>
        <w:t xml:space="preserve">daten-Reporting zu </w:t>
      </w:r>
      <w:r>
        <w:rPr>
          <w:rFonts w:asciiTheme="minorHAnsi" w:eastAsiaTheme="minorHAnsi" w:hAnsiTheme="minorHAnsi" w:cstheme="minorBidi"/>
          <w:sz w:val="22"/>
          <w:szCs w:val="22"/>
          <w:lang w:eastAsia="en-US"/>
        </w:rPr>
        <w:t>werden</w:t>
      </w:r>
      <w:r w:rsidRPr="00C00B5E">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706BBD">
        <w:rPr>
          <w:rFonts w:asciiTheme="minorHAnsi" w:eastAsiaTheme="minorHAnsi" w:hAnsiTheme="minorHAnsi" w:cstheme="minorBidi"/>
          <w:sz w:val="22"/>
          <w:szCs w:val="22"/>
          <w:lang w:eastAsia="en-US"/>
        </w:rPr>
        <w:t>Heute betreut TACHO</w:t>
      </w:r>
      <w:r w:rsidR="00706BBD" w:rsidRPr="00084030">
        <w:rPr>
          <w:rFonts w:asciiTheme="minorHAnsi" w:eastAsiaTheme="minorHAnsi" w:hAnsiTheme="minorHAnsi" w:cstheme="minorBidi"/>
          <w:i/>
          <w:iCs/>
          <w:sz w:val="22"/>
          <w:szCs w:val="22"/>
          <w:lang w:eastAsia="en-US"/>
        </w:rPr>
        <w:t>fresh</w:t>
      </w:r>
      <w:r w:rsidR="00706BBD">
        <w:rPr>
          <w:rFonts w:asciiTheme="minorHAnsi" w:eastAsiaTheme="minorHAnsi" w:hAnsiTheme="minorHAnsi" w:cstheme="minorBidi"/>
          <w:sz w:val="22"/>
          <w:szCs w:val="22"/>
          <w:lang w:eastAsia="en-US"/>
        </w:rPr>
        <w:t xml:space="preserve"> an</w:t>
      </w:r>
      <w:r>
        <w:rPr>
          <w:rFonts w:asciiTheme="minorHAnsi" w:eastAsiaTheme="minorHAnsi" w:hAnsiTheme="minorHAnsi" w:cstheme="minorBidi"/>
          <w:sz w:val="22"/>
          <w:szCs w:val="22"/>
          <w:lang w:eastAsia="en-US"/>
        </w:rPr>
        <w:t xml:space="preserve"> seine</w:t>
      </w:r>
      <w:r w:rsidR="00706BBD">
        <w:rPr>
          <w:rFonts w:asciiTheme="minorHAnsi" w:eastAsiaTheme="minorHAnsi" w:hAnsiTheme="minorHAnsi" w:cstheme="minorBidi"/>
          <w:sz w:val="22"/>
          <w:szCs w:val="22"/>
          <w:lang w:eastAsia="en-US"/>
        </w:rPr>
        <w:t>n beiden</w:t>
      </w:r>
      <w:r w:rsidR="00887F16">
        <w:rPr>
          <w:rFonts w:asciiTheme="minorHAnsi" w:eastAsiaTheme="minorHAnsi" w:hAnsiTheme="minorHAnsi" w:cstheme="minorBidi"/>
          <w:sz w:val="22"/>
          <w:szCs w:val="22"/>
          <w:lang w:eastAsia="en-US"/>
        </w:rPr>
        <w:t xml:space="preserve"> deutschen Standorten in Wildau und München und </w:t>
      </w:r>
      <w:r w:rsidR="00706BBD">
        <w:rPr>
          <w:rFonts w:asciiTheme="minorHAnsi" w:eastAsiaTheme="minorHAnsi" w:hAnsiTheme="minorHAnsi" w:cstheme="minorBidi"/>
          <w:sz w:val="22"/>
          <w:szCs w:val="22"/>
          <w:lang w:eastAsia="en-US"/>
        </w:rPr>
        <w:t xml:space="preserve">im Rahmen seines </w:t>
      </w:r>
      <w:r w:rsidR="00FC2927">
        <w:rPr>
          <w:rFonts w:asciiTheme="minorHAnsi" w:eastAsiaTheme="minorHAnsi" w:hAnsiTheme="minorHAnsi" w:cstheme="minorBidi"/>
          <w:sz w:val="22"/>
          <w:szCs w:val="22"/>
          <w:lang w:eastAsia="en-US"/>
        </w:rPr>
        <w:t xml:space="preserve">internationalen </w:t>
      </w:r>
      <w:r w:rsidRPr="00C00B5E">
        <w:rPr>
          <w:rFonts w:asciiTheme="minorHAnsi" w:eastAsiaTheme="minorHAnsi" w:hAnsiTheme="minorHAnsi" w:cstheme="minorBidi"/>
          <w:sz w:val="22"/>
          <w:szCs w:val="22"/>
          <w:lang w:eastAsia="en-US"/>
        </w:rPr>
        <w:t>Partner</w:t>
      </w:r>
      <w:r>
        <w:rPr>
          <w:rFonts w:asciiTheme="minorHAnsi" w:eastAsiaTheme="minorHAnsi" w:hAnsiTheme="minorHAnsi" w:cstheme="minorBidi"/>
          <w:sz w:val="22"/>
          <w:szCs w:val="22"/>
          <w:lang w:eastAsia="en-US"/>
        </w:rPr>
        <w:t>netzwerk</w:t>
      </w:r>
      <w:r w:rsidR="00706BBD">
        <w:rPr>
          <w:rFonts w:asciiTheme="minorHAnsi" w:eastAsiaTheme="minorHAnsi" w:hAnsiTheme="minorHAnsi" w:cstheme="minorBidi"/>
          <w:sz w:val="22"/>
          <w:szCs w:val="22"/>
          <w:lang w:eastAsia="en-US"/>
        </w:rPr>
        <w:t>s</w:t>
      </w:r>
      <w:r w:rsidRPr="00C00B5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über 2.000 Kunden </w:t>
      </w:r>
      <w:r w:rsidR="00887F16">
        <w:rPr>
          <w:rFonts w:asciiTheme="minorHAnsi" w:eastAsiaTheme="minorHAnsi" w:hAnsiTheme="minorHAnsi" w:cstheme="minorBidi"/>
          <w:sz w:val="22"/>
          <w:szCs w:val="22"/>
          <w:lang w:eastAsia="en-US"/>
        </w:rPr>
        <w:t>mit 60.000 Fahrern und 25.000 Fahrzeugen</w:t>
      </w:r>
      <w:r w:rsidR="00390F94">
        <w:rPr>
          <w:rFonts w:asciiTheme="minorHAnsi" w:eastAsiaTheme="minorHAnsi" w:hAnsiTheme="minorHAnsi" w:cstheme="minorBidi"/>
          <w:sz w:val="22"/>
          <w:szCs w:val="22"/>
          <w:lang w:eastAsia="en-US"/>
        </w:rPr>
        <w:t xml:space="preserve"> europaweit</w:t>
      </w:r>
      <w:r w:rsidR="00887F16">
        <w:rPr>
          <w:rFonts w:asciiTheme="minorHAnsi" w:eastAsiaTheme="minorHAnsi" w:hAnsiTheme="minorHAnsi" w:cstheme="minorBidi"/>
          <w:sz w:val="22"/>
          <w:szCs w:val="22"/>
          <w:lang w:eastAsia="en-US"/>
        </w:rPr>
        <w:t>.</w:t>
      </w:r>
      <w:r w:rsidR="00112B51">
        <w:rPr>
          <w:rFonts w:asciiTheme="minorHAnsi" w:eastAsiaTheme="minorHAnsi" w:hAnsiTheme="minorHAnsi" w:cstheme="minorBidi"/>
          <w:sz w:val="22"/>
          <w:szCs w:val="22"/>
          <w:lang w:eastAsia="en-US"/>
        </w:rPr>
        <w:t xml:space="preserve"> Weitere Informationen: </w:t>
      </w:r>
      <w:hyperlink r:id="rId5" w:history="1">
        <w:r w:rsidR="00887F16" w:rsidRPr="007169D9">
          <w:rPr>
            <w:rStyle w:val="Hyperlink"/>
            <w:rFonts w:asciiTheme="minorHAnsi" w:eastAsiaTheme="minorHAnsi" w:hAnsiTheme="minorHAnsi" w:cstheme="minorBidi"/>
            <w:sz w:val="22"/>
            <w:szCs w:val="22"/>
            <w:lang w:eastAsia="en-US"/>
          </w:rPr>
          <w:t>www.tachofresh.com</w:t>
        </w:r>
      </w:hyperlink>
      <w:r w:rsidR="00887F16">
        <w:rPr>
          <w:rFonts w:asciiTheme="minorHAnsi" w:eastAsiaTheme="minorHAnsi" w:hAnsiTheme="minorHAnsi" w:cstheme="minorBidi"/>
          <w:sz w:val="22"/>
          <w:szCs w:val="22"/>
          <w:lang w:eastAsia="en-US"/>
        </w:rPr>
        <w:t xml:space="preserve"> </w:t>
      </w:r>
    </w:p>
    <w:p w14:paraId="56D55E79" w14:textId="77777777" w:rsidR="001C3B96" w:rsidRPr="00353E0A" w:rsidRDefault="001C3B96" w:rsidP="00EF3FEF">
      <w:pPr>
        <w:pStyle w:val="StandardWeb"/>
        <w:jc w:val="both"/>
        <w:rPr>
          <w:rFonts w:asciiTheme="minorHAnsi" w:eastAsiaTheme="minorHAnsi" w:hAnsiTheme="minorHAnsi" w:cstheme="minorBidi"/>
          <w:b/>
          <w:bCs/>
          <w:sz w:val="22"/>
          <w:szCs w:val="22"/>
          <w:lang w:eastAsia="en-US"/>
        </w:rPr>
      </w:pPr>
      <w:r w:rsidRPr="00353E0A">
        <w:rPr>
          <w:rFonts w:asciiTheme="minorHAnsi" w:eastAsiaTheme="minorHAnsi" w:hAnsiTheme="minorHAnsi" w:cstheme="minorBidi"/>
          <w:b/>
          <w:bCs/>
          <w:sz w:val="22"/>
          <w:szCs w:val="22"/>
          <w:lang w:eastAsia="en-US"/>
        </w:rPr>
        <w:t>Über d</w:t>
      </w:r>
      <w:r w:rsidRPr="00932AEF">
        <w:rPr>
          <w:rFonts w:asciiTheme="minorHAnsi" w:eastAsiaTheme="minorHAnsi" w:hAnsiTheme="minorHAnsi" w:cstheme="minorBidi"/>
          <w:b/>
          <w:bCs/>
          <w:sz w:val="22"/>
          <w:szCs w:val="22"/>
          <w:lang w:eastAsia="en-US"/>
        </w:rPr>
        <w:t>ie BBG Automotive GmbH</w:t>
      </w:r>
    </w:p>
    <w:p w14:paraId="7398E4BA" w14:textId="16E58D3C" w:rsidR="00332A50" w:rsidRDefault="001C3B96" w:rsidP="00EF3FEF">
      <w:pPr>
        <w:jc w:val="both"/>
      </w:pPr>
      <w:r>
        <w:t>Die BBG Automotive GmbH ist ein innovatives Handels- und Dienstleistungsunternehmen im Automotive-Bereich. BBG realisiert innovative Lösungen rund um den Digitalen Tachographen (DTCO) mit dem entsprechenden Datenmanagement, bis hin zur Telematik mit individuellen Fuhrparklösungen.</w:t>
      </w:r>
      <w:r w:rsidR="0065005B">
        <w:t xml:space="preserve"> </w:t>
      </w:r>
      <w:r>
        <w:t>Als autorisierter VDO Fachhandelspartner umfasst das Portfolio u.a. auch die Fahrzeuginstrumentierung, Unfall Daten Speicher und alle Themen rund um den §57b StVZO. Parallel zum Warenvertrieb und Serviceangebot bietet BBG zudem den notwendigen Support sowie Schulungen für die angebotenen Hard- und Softwareprodukte.</w:t>
      </w:r>
      <w:r w:rsidR="0065005B">
        <w:t xml:space="preserve"> Weitere Informationen:</w:t>
      </w:r>
      <w:r w:rsidR="00332A50" w:rsidRPr="00332A50">
        <w:t xml:space="preserve"> </w:t>
      </w:r>
      <w:hyperlink r:id="rId6" w:history="1">
        <w:r w:rsidR="00E03F71" w:rsidRPr="002C14E2">
          <w:rPr>
            <w:rStyle w:val="Hyperlink"/>
          </w:rPr>
          <w:t>www.bbg-automotive.de</w:t>
        </w:r>
      </w:hyperlink>
    </w:p>
    <w:p w14:paraId="56EAE557" w14:textId="77777777" w:rsidR="001C3B96" w:rsidRPr="00332A50" w:rsidRDefault="001C3B96" w:rsidP="001C3B96">
      <w:pPr>
        <w:pStyle w:val="StandardWeb"/>
        <w:jc w:val="both"/>
        <w:rPr>
          <w:rFonts w:asciiTheme="minorHAnsi" w:eastAsiaTheme="minorHAnsi" w:hAnsiTheme="minorHAnsi" w:cstheme="minorBidi"/>
          <w:b/>
          <w:sz w:val="22"/>
          <w:szCs w:val="22"/>
          <w:lang w:eastAsia="en-US"/>
        </w:rPr>
      </w:pPr>
      <w:r w:rsidRPr="00332A50">
        <w:rPr>
          <w:rFonts w:asciiTheme="minorHAnsi" w:eastAsiaTheme="minorHAnsi" w:hAnsiTheme="minorHAnsi" w:cstheme="minorBidi"/>
          <w:b/>
          <w:sz w:val="22"/>
          <w:szCs w:val="22"/>
          <w:lang w:eastAsia="en-US"/>
        </w:rPr>
        <w:t>Pressekontakt</w:t>
      </w:r>
    </w:p>
    <w:p w14:paraId="6CD91808" w14:textId="385BD78D" w:rsidR="001C3B96" w:rsidRPr="00332A50" w:rsidRDefault="001C3B96" w:rsidP="001C3B96">
      <w:pPr>
        <w:spacing w:after="0" w:line="240" w:lineRule="auto"/>
      </w:pPr>
      <w:r w:rsidRPr="00332A50">
        <w:t>Ilka Güse</w:t>
      </w:r>
    </w:p>
    <w:p w14:paraId="366910D1" w14:textId="1B862E0E" w:rsidR="000574CD" w:rsidRPr="00F87BBA" w:rsidRDefault="000574CD" w:rsidP="001C3B96">
      <w:pPr>
        <w:spacing w:after="0" w:line="240" w:lineRule="auto"/>
      </w:pPr>
      <w:r w:rsidRPr="00F87BBA">
        <w:t>TACHOfresh GmbH</w:t>
      </w:r>
    </w:p>
    <w:p w14:paraId="38713933" w14:textId="77777777" w:rsidR="000574CD" w:rsidRPr="00F87BBA" w:rsidRDefault="001C3B96" w:rsidP="000574CD">
      <w:pPr>
        <w:pStyle w:val="StandardWeb"/>
        <w:spacing w:before="0" w:beforeAutospacing="0" w:after="0" w:afterAutospacing="0"/>
        <w:jc w:val="both"/>
        <w:rPr>
          <w:rStyle w:val="Hyperlink"/>
          <w:rFonts w:asciiTheme="minorHAnsi" w:eastAsiaTheme="minorHAnsi" w:hAnsiTheme="minorHAnsi" w:cstheme="minorBidi"/>
          <w:b/>
          <w:sz w:val="22"/>
          <w:szCs w:val="22"/>
          <w:lang w:val="da-DK" w:eastAsia="en-US"/>
        </w:rPr>
      </w:pPr>
      <w:r w:rsidRPr="00F87BBA">
        <w:rPr>
          <w:rFonts w:asciiTheme="minorHAnsi" w:eastAsiaTheme="minorHAnsi" w:hAnsiTheme="minorHAnsi" w:cstheme="minorBidi"/>
          <w:bCs/>
          <w:sz w:val="22"/>
          <w:szCs w:val="22"/>
          <w:lang w:val="da-DK" w:eastAsia="en-US"/>
        </w:rPr>
        <w:t>+49 (0)3375 528 30 22</w:t>
      </w:r>
      <w:r w:rsidR="000574CD" w:rsidRPr="00F87BBA">
        <w:rPr>
          <w:rStyle w:val="Hyperlink"/>
          <w:rFonts w:asciiTheme="minorHAnsi" w:eastAsiaTheme="minorHAnsi" w:hAnsiTheme="minorHAnsi" w:cstheme="minorBidi"/>
          <w:b/>
          <w:sz w:val="22"/>
          <w:szCs w:val="22"/>
          <w:lang w:val="da-DK" w:eastAsia="en-US"/>
        </w:rPr>
        <w:t xml:space="preserve"> </w:t>
      </w:r>
    </w:p>
    <w:p w14:paraId="61F45589" w14:textId="6C69F88D" w:rsidR="000574CD" w:rsidRPr="00F87BBA" w:rsidRDefault="000574CD" w:rsidP="000574CD">
      <w:pPr>
        <w:pStyle w:val="StandardWeb"/>
        <w:spacing w:before="0" w:beforeAutospacing="0" w:after="0" w:afterAutospacing="0"/>
        <w:jc w:val="both"/>
        <w:rPr>
          <w:rStyle w:val="Hyperlink"/>
          <w:rFonts w:eastAsiaTheme="minorHAnsi"/>
          <w:lang w:val="da-DK"/>
        </w:rPr>
      </w:pPr>
      <w:r w:rsidRPr="00F87BBA">
        <w:rPr>
          <w:rStyle w:val="Hyperlink"/>
          <w:rFonts w:asciiTheme="minorHAnsi" w:eastAsiaTheme="minorHAnsi" w:hAnsiTheme="minorHAnsi" w:cstheme="minorBidi"/>
          <w:b/>
          <w:sz w:val="22"/>
          <w:szCs w:val="22"/>
          <w:lang w:val="da-DK" w:eastAsia="en-US"/>
        </w:rPr>
        <w:t>Ilka.guese@tachofresh.com</w:t>
      </w:r>
      <w:r w:rsidRPr="00F87BBA">
        <w:rPr>
          <w:rStyle w:val="Hyperlink"/>
          <w:rFonts w:eastAsiaTheme="minorHAnsi"/>
          <w:lang w:val="da-DK"/>
        </w:rPr>
        <w:t xml:space="preserve"> </w:t>
      </w:r>
    </w:p>
    <w:p w14:paraId="0996418E" w14:textId="75825A82" w:rsidR="00556F6A" w:rsidRPr="00F87BBA" w:rsidRDefault="00556F6A" w:rsidP="001C3B96">
      <w:pPr>
        <w:pStyle w:val="StandardWeb"/>
        <w:spacing w:before="0" w:beforeAutospacing="0" w:after="0" w:afterAutospacing="0"/>
        <w:jc w:val="both"/>
        <w:rPr>
          <w:rFonts w:asciiTheme="minorHAnsi" w:eastAsiaTheme="minorHAnsi" w:hAnsiTheme="minorHAnsi" w:cstheme="minorBidi"/>
          <w:bCs/>
          <w:sz w:val="22"/>
          <w:szCs w:val="22"/>
          <w:lang w:val="da-DK" w:eastAsia="en-US"/>
        </w:rPr>
      </w:pPr>
    </w:p>
    <w:p w14:paraId="34758A6F" w14:textId="77777777" w:rsidR="0065005B" w:rsidRPr="00556F6A" w:rsidRDefault="0065005B" w:rsidP="001C3B96">
      <w:pPr>
        <w:pStyle w:val="StandardWeb"/>
        <w:spacing w:before="0" w:beforeAutospacing="0" w:after="0" w:afterAutospacing="0"/>
        <w:jc w:val="both"/>
        <w:rPr>
          <w:rFonts w:asciiTheme="minorHAnsi" w:eastAsiaTheme="minorHAnsi" w:hAnsiTheme="minorHAnsi" w:cstheme="minorBidi"/>
          <w:bCs/>
          <w:sz w:val="22"/>
          <w:szCs w:val="22"/>
          <w:lang w:eastAsia="en-US"/>
        </w:rPr>
      </w:pPr>
      <w:bookmarkStart w:id="0" w:name="_GoBack"/>
      <w:bookmarkEnd w:id="0"/>
    </w:p>
    <w:sectPr w:rsidR="0065005B" w:rsidRPr="00556F6A" w:rsidSect="005A5F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da-DK"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C"/>
    <w:rsid w:val="0001780F"/>
    <w:rsid w:val="000574CD"/>
    <w:rsid w:val="00060880"/>
    <w:rsid w:val="00084030"/>
    <w:rsid w:val="000A38A4"/>
    <w:rsid w:val="000C5748"/>
    <w:rsid w:val="000C7561"/>
    <w:rsid w:val="000F5F5D"/>
    <w:rsid w:val="00112B51"/>
    <w:rsid w:val="0019134C"/>
    <w:rsid w:val="001B20FD"/>
    <w:rsid w:val="001B719D"/>
    <w:rsid w:val="001C3B96"/>
    <w:rsid w:val="001E3CB5"/>
    <w:rsid w:val="001E7A07"/>
    <w:rsid w:val="001F1E15"/>
    <w:rsid w:val="002072D1"/>
    <w:rsid w:val="002441CB"/>
    <w:rsid w:val="002445CF"/>
    <w:rsid w:val="002A79F2"/>
    <w:rsid w:val="003004E7"/>
    <w:rsid w:val="0031246F"/>
    <w:rsid w:val="00332A50"/>
    <w:rsid w:val="003476A2"/>
    <w:rsid w:val="00385F71"/>
    <w:rsid w:val="00390E6C"/>
    <w:rsid w:val="00390F94"/>
    <w:rsid w:val="003C241B"/>
    <w:rsid w:val="003C3504"/>
    <w:rsid w:val="003E0468"/>
    <w:rsid w:val="00421320"/>
    <w:rsid w:val="00437E75"/>
    <w:rsid w:val="0046437C"/>
    <w:rsid w:val="004902FE"/>
    <w:rsid w:val="00493350"/>
    <w:rsid w:val="004A70F0"/>
    <w:rsid w:val="004B65F5"/>
    <w:rsid w:val="004C1D0B"/>
    <w:rsid w:val="004E5F46"/>
    <w:rsid w:val="004E639F"/>
    <w:rsid w:val="004E78F6"/>
    <w:rsid w:val="00503162"/>
    <w:rsid w:val="00545225"/>
    <w:rsid w:val="00556F6A"/>
    <w:rsid w:val="005A5FE5"/>
    <w:rsid w:val="005B0911"/>
    <w:rsid w:val="005F4C25"/>
    <w:rsid w:val="00603D80"/>
    <w:rsid w:val="006267DA"/>
    <w:rsid w:val="0065005B"/>
    <w:rsid w:val="006805A2"/>
    <w:rsid w:val="0069790E"/>
    <w:rsid w:val="006D70C1"/>
    <w:rsid w:val="00702EC4"/>
    <w:rsid w:val="00706BBD"/>
    <w:rsid w:val="0079285D"/>
    <w:rsid w:val="007A1C6B"/>
    <w:rsid w:val="007C24E2"/>
    <w:rsid w:val="007E251C"/>
    <w:rsid w:val="008524B8"/>
    <w:rsid w:val="00855437"/>
    <w:rsid w:val="00876F00"/>
    <w:rsid w:val="00887F16"/>
    <w:rsid w:val="008B0356"/>
    <w:rsid w:val="008B4EC9"/>
    <w:rsid w:val="008D484E"/>
    <w:rsid w:val="009004CD"/>
    <w:rsid w:val="00961881"/>
    <w:rsid w:val="0097773D"/>
    <w:rsid w:val="00987D78"/>
    <w:rsid w:val="009E11F6"/>
    <w:rsid w:val="00A10B52"/>
    <w:rsid w:val="00A275D8"/>
    <w:rsid w:val="00A3225F"/>
    <w:rsid w:val="00A45880"/>
    <w:rsid w:val="00A66719"/>
    <w:rsid w:val="00A71687"/>
    <w:rsid w:val="00A761CD"/>
    <w:rsid w:val="00B36BA8"/>
    <w:rsid w:val="00B45A4C"/>
    <w:rsid w:val="00B502D5"/>
    <w:rsid w:val="00B70861"/>
    <w:rsid w:val="00B73BE3"/>
    <w:rsid w:val="00C00B5E"/>
    <w:rsid w:val="00C57AB4"/>
    <w:rsid w:val="00C638DC"/>
    <w:rsid w:val="00CE0C40"/>
    <w:rsid w:val="00D10A6C"/>
    <w:rsid w:val="00D10C8A"/>
    <w:rsid w:val="00D426D5"/>
    <w:rsid w:val="00D514E8"/>
    <w:rsid w:val="00DB25EA"/>
    <w:rsid w:val="00DB6F3C"/>
    <w:rsid w:val="00DC236E"/>
    <w:rsid w:val="00E03F71"/>
    <w:rsid w:val="00E053D2"/>
    <w:rsid w:val="00E174B9"/>
    <w:rsid w:val="00E305CC"/>
    <w:rsid w:val="00E31155"/>
    <w:rsid w:val="00E32056"/>
    <w:rsid w:val="00E84F8C"/>
    <w:rsid w:val="00ED1217"/>
    <w:rsid w:val="00EF3FEF"/>
    <w:rsid w:val="00F3260D"/>
    <w:rsid w:val="00F37C75"/>
    <w:rsid w:val="00F4187D"/>
    <w:rsid w:val="00F7697C"/>
    <w:rsid w:val="00F8013D"/>
    <w:rsid w:val="00F8105D"/>
    <w:rsid w:val="00F87BBA"/>
    <w:rsid w:val="00FB251B"/>
    <w:rsid w:val="00FC2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5BCC"/>
  <w15:chartTrackingRefBased/>
  <w15:docId w15:val="{470FE59B-E23D-404E-9251-20F97F2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B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00B5E"/>
    <w:rPr>
      <w:i/>
      <w:iCs/>
    </w:rPr>
  </w:style>
  <w:style w:type="character" w:styleId="Fett">
    <w:name w:val="Strong"/>
    <w:basedOn w:val="Absatz-Standardschriftart"/>
    <w:uiPriority w:val="22"/>
    <w:qFormat/>
    <w:rsid w:val="00C00B5E"/>
    <w:rPr>
      <w:b/>
      <w:bCs/>
    </w:rPr>
  </w:style>
  <w:style w:type="character" w:styleId="Hyperlink">
    <w:name w:val="Hyperlink"/>
    <w:basedOn w:val="Absatz-Standardschriftart"/>
    <w:uiPriority w:val="99"/>
    <w:unhideWhenUsed/>
    <w:rsid w:val="00887F16"/>
    <w:rPr>
      <w:color w:val="0563C1" w:themeColor="hyperlink"/>
      <w:u w:val="single"/>
    </w:rPr>
  </w:style>
  <w:style w:type="character" w:customStyle="1" w:styleId="NichtaufgelsteErwhnung1">
    <w:name w:val="Nicht aufgelöste Erwähnung1"/>
    <w:basedOn w:val="Absatz-Standardschriftart"/>
    <w:uiPriority w:val="99"/>
    <w:semiHidden/>
    <w:unhideWhenUsed/>
    <w:rsid w:val="00887F1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56F6A"/>
    <w:rPr>
      <w:color w:val="605E5C"/>
      <w:shd w:val="clear" w:color="auto" w:fill="E1DFDD"/>
    </w:rPr>
  </w:style>
  <w:style w:type="paragraph" w:customStyle="1" w:styleId="justify">
    <w:name w:val="justify"/>
    <w:basedOn w:val="Standard"/>
    <w:rsid w:val="00FB25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1904">
      <w:bodyDiv w:val="1"/>
      <w:marLeft w:val="0"/>
      <w:marRight w:val="0"/>
      <w:marTop w:val="0"/>
      <w:marBottom w:val="0"/>
      <w:divBdr>
        <w:top w:val="none" w:sz="0" w:space="0" w:color="auto"/>
        <w:left w:val="none" w:sz="0" w:space="0" w:color="auto"/>
        <w:bottom w:val="none" w:sz="0" w:space="0" w:color="auto"/>
        <w:right w:val="none" w:sz="0" w:space="0" w:color="auto"/>
      </w:divBdr>
    </w:div>
    <w:div w:id="769933761">
      <w:bodyDiv w:val="1"/>
      <w:marLeft w:val="0"/>
      <w:marRight w:val="0"/>
      <w:marTop w:val="0"/>
      <w:marBottom w:val="0"/>
      <w:divBdr>
        <w:top w:val="none" w:sz="0" w:space="0" w:color="auto"/>
        <w:left w:val="none" w:sz="0" w:space="0" w:color="auto"/>
        <w:bottom w:val="none" w:sz="0" w:space="0" w:color="auto"/>
        <w:right w:val="none" w:sz="0" w:space="0" w:color="auto"/>
      </w:divBdr>
    </w:div>
    <w:div w:id="1089740185">
      <w:bodyDiv w:val="1"/>
      <w:marLeft w:val="0"/>
      <w:marRight w:val="0"/>
      <w:marTop w:val="0"/>
      <w:marBottom w:val="0"/>
      <w:divBdr>
        <w:top w:val="none" w:sz="0" w:space="0" w:color="auto"/>
        <w:left w:val="none" w:sz="0" w:space="0" w:color="auto"/>
        <w:bottom w:val="none" w:sz="0" w:space="0" w:color="auto"/>
        <w:right w:val="none" w:sz="0" w:space="0" w:color="auto"/>
      </w:divBdr>
      <w:divsChild>
        <w:div w:id="205871937">
          <w:marLeft w:val="0"/>
          <w:marRight w:val="0"/>
          <w:marTop w:val="0"/>
          <w:marBottom w:val="0"/>
          <w:divBdr>
            <w:top w:val="none" w:sz="0" w:space="0" w:color="auto"/>
            <w:left w:val="none" w:sz="0" w:space="0" w:color="auto"/>
            <w:bottom w:val="none" w:sz="0" w:space="0" w:color="auto"/>
            <w:right w:val="none" w:sz="0" w:space="0" w:color="auto"/>
          </w:divBdr>
          <w:divsChild>
            <w:div w:id="1737703776">
              <w:marLeft w:val="0"/>
              <w:marRight w:val="0"/>
              <w:marTop w:val="0"/>
              <w:marBottom w:val="0"/>
              <w:divBdr>
                <w:top w:val="none" w:sz="0" w:space="0" w:color="auto"/>
                <w:left w:val="none" w:sz="0" w:space="0" w:color="auto"/>
                <w:bottom w:val="none" w:sz="0" w:space="0" w:color="auto"/>
                <w:right w:val="none" w:sz="0" w:space="0" w:color="auto"/>
              </w:divBdr>
            </w:div>
          </w:divsChild>
        </w:div>
        <w:div w:id="1075979652">
          <w:marLeft w:val="0"/>
          <w:marRight w:val="0"/>
          <w:marTop w:val="0"/>
          <w:marBottom w:val="0"/>
          <w:divBdr>
            <w:top w:val="none" w:sz="0" w:space="0" w:color="auto"/>
            <w:left w:val="none" w:sz="0" w:space="0" w:color="auto"/>
            <w:bottom w:val="none" w:sz="0" w:space="0" w:color="auto"/>
            <w:right w:val="none" w:sz="0" w:space="0" w:color="auto"/>
          </w:divBdr>
          <w:divsChild>
            <w:div w:id="2113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g-automotive.de" TargetMode="External"/><Relationship Id="rId5" Type="http://schemas.openxmlformats.org/officeDocument/2006/relationships/hyperlink" Target="http://www.tachofres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Kirsch</dc:creator>
  <cp:keywords/>
  <dc:description/>
  <cp:lastModifiedBy>Microsoft-Konto</cp:lastModifiedBy>
  <cp:revision>2</cp:revision>
  <cp:lastPrinted>2021-01-29T10:06:00Z</cp:lastPrinted>
  <dcterms:created xsi:type="dcterms:W3CDTF">2021-02-08T17:05:00Z</dcterms:created>
  <dcterms:modified xsi:type="dcterms:W3CDTF">2021-02-08T17:05:00Z</dcterms:modified>
</cp:coreProperties>
</file>