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6D05F" w14:textId="77777777" w:rsidR="00825079" w:rsidRPr="002A00CE" w:rsidRDefault="00C63B21" w:rsidP="00825079">
      <w:pPr>
        <w:tabs>
          <w:tab w:val="left" w:pos="5529"/>
        </w:tabs>
        <w:jc w:val="right"/>
        <w:rPr>
          <w:rFonts w:ascii="Arial" w:eastAsia="Calibri" w:hAnsi="Arial" w:cs="Arial"/>
          <w:szCs w:val="22"/>
          <w:lang w:val="de-DE"/>
        </w:rPr>
      </w:pPr>
      <w:proofErr w:type="spellStart"/>
      <w:r w:rsidRPr="002A00CE">
        <w:rPr>
          <w:rFonts w:ascii="Arial" w:eastAsia="Arial" w:hAnsi="Arial" w:cs="Arial"/>
          <w:bdr w:val="nil"/>
          <w:lang w:val="de-DE"/>
        </w:rPr>
        <w:t>Levallois</w:t>
      </w:r>
      <w:proofErr w:type="spellEnd"/>
      <w:r w:rsidRPr="002A00CE">
        <w:rPr>
          <w:rFonts w:ascii="Arial" w:eastAsia="Arial" w:hAnsi="Arial" w:cs="Arial"/>
          <w:bdr w:val="nil"/>
          <w:lang w:val="de-DE"/>
        </w:rPr>
        <w:t xml:space="preserve">-Perret </w:t>
      </w:r>
    </w:p>
    <w:p w14:paraId="02B4986B" w14:textId="77777777" w:rsidR="00825079" w:rsidRPr="002A00CE" w:rsidRDefault="00F161E5" w:rsidP="00825079">
      <w:pPr>
        <w:tabs>
          <w:tab w:val="left" w:pos="5529"/>
        </w:tabs>
        <w:jc w:val="right"/>
        <w:rPr>
          <w:rFonts w:ascii="Arial" w:eastAsia="Calibri" w:hAnsi="Arial" w:cs="Arial"/>
          <w:szCs w:val="22"/>
          <w:lang w:val="de-DE"/>
        </w:rPr>
      </w:pPr>
      <w:r w:rsidRPr="002A00CE">
        <w:rPr>
          <w:rFonts w:ascii="Arial" w:eastAsia="Arial" w:hAnsi="Arial" w:cs="Arial"/>
          <w:bdr w:val="nil"/>
          <w:lang w:val="de-DE"/>
        </w:rPr>
        <w:t>11.</w:t>
      </w:r>
      <w:r w:rsidR="007D0731" w:rsidRPr="002A00CE">
        <w:rPr>
          <w:rFonts w:ascii="Arial" w:eastAsia="Arial" w:hAnsi="Arial" w:cs="Arial"/>
          <w:bdr w:val="nil"/>
          <w:lang w:val="de-DE"/>
        </w:rPr>
        <w:t xml:space="preserve"> </w:t>
      </w:r>
      <w:r w:rsidRPr="002A00CE">
        <w:rPr>
          <w:rFonts w:ascii="Arial" w:eastAsia="Arial" w:hAnsi="Arial" w:cs="Arial"/>
          <w:bdr w:val="nil"/>
          <w:lang w:val="de-DE"/>
        </w:rPr>
        <w:t>April</w:t>
      </w:r>
      <w:r w:rsidR="00C63B21" w:rsidRPr="002A00CE">
        <w:rPr>
          <w:rFonts w:ascii="Arial" w:eastAsia="Arial" w:hAnsi="Arial" w:cs="Arial"/>
          <w:bdr w:val="nil"/>
          <w:lang w:val="de-DE"/>
        </w:rPr>
        <w:t xml:space="preserve"> 2018</w:t>
      </w:r>
    </w:p>
    <w:p w14:paraId="6547F46B" w14:textId="77777777" w:rsidR="00825079" w:rsidRPr="002A00CE" w:rsidRDefault="00825079" w:rsidP="00D8615A">
      <w:pPr>
        <w:jc w:val="center"/>
        <w:outlineLvl w:val="0"/>
        <w:rPr>
          <w:rFonts w:ascii="Calibri" w:hAnsi="Calibri"/>
          <w:b/>
          <w:sz w:val="32"/>
          <w:szCs w:val="28"/>
          <w:lang w:val="de-DE"/>
        </w:rPr>
      </w:pPr>
    </w:p>
    <w:p w14:paraId="1478ABE1" w14:textId="77777777" w:rsidR="003367C8" w:rsidRPr="002A00CE" w:rsidRDefault="003367C8" w:rsidP="00825079">
      <w:pPr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bdr w:val="nil"/>
          <w:lang w:val="de-DE"/>
        </w:rPr>
      </w:pPr>
      <w:r w:rsidRPr="002A00CE">
        <w:rPr>
          <w:rFonts w:ascii="Arial" w:eastAsia="Calibri" w:hAnsi="Arial" w:cs="Arial"/>
          <w:b/>
          <w:bCs/>
          <w:sz w:val="32"/>
          <w:szCs w:val="32"/>
          <w:bdr w:val="nil"/>
          <w:lang w:val="de-DE"/>
        </w:rPr>
        <w:t>LAGERBESTANDSFÜHRUNG MIT DRO</w:t>
      </w:r>
      <w:r w:rsidR="00781D61">
        <w:rPr>
          <w:rFonts w:ascii="Arial" w:eastAsia="Calibri" w:hAnsi="Arial" w:cs="Arial"/>
          <w:b/>
          <w:bCs/>
          <w:sz w:val="32"/>
          <w:szCs w:val="32"/>
          <w:bdr w:val="nil"/>
          <w:lang w:val="de-DE"/>
        </w:rPr>
        <w:t>H</w:t>
      </w:r>
      <w:r w:rsidRPr="002A00CE">
        <w:rPr>
          <w:rFonts w:ascii="Arial" w:eastAsia="Calibri" w:hAnsi="Arial" w:cs="Arial"/>
          <w:b/>
          <w:bCs/>
          <w:sz w:val="32"/>
          <w:szCs w:val="32"/>
          <w:bdr w:val="nil"/>
          <w:lang w:val="de-DE"/>
        </w:rPr>
        <w:t xml:space="preserve">NEN: </w:t>
      </w:r>
    </w:p>
    <w:p w14:paraId="74669CA5" w14:textId="77777777" w:rsidR="00BF3A28" w:rsidRPr="002A00CE" w:rsidRDefault="00BF3A28" w:rsidP="00825079">
      <w:pPr>
        <w:tabs>
          <w:tab w:val="left" w:pos="5529"/>
        </w:tabs>
        <w:spacing w:line="276" w:lineRule="auto"/>
        <w:rPr>
          <w:rFonts w:ascii="Arial" w:eastAsia="Calibri" w:hAnsi="Arial" w:cs="Arial"/>
          <w:sz w:val="22"/>
          <w:szCs w:val="22"/>
          <w:lang w:val="de-DE"/>
        </w:rPr>
      </w:pPr>
    </w:p>
    <w:p w14:paraId="1F9451D7" w14:textId="0F28EC9E" w:rsidR="003367C8" w:rsidRPr="002A00CE" w:rsidRDefault="003367C8" w:rsidP="003E564F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  <w:bdr w:val="nil"/>
          <w:lang w:val="de-DE"/>
        </w:rPr>
      </w:pPr>
      <w:r w:rsidRPr="002A00CE">
        <w:rPr>
          <w:rFonts w:ascii="Arial" w:eastAsia="Arial" w:hAnsi="Arial" w:cs="Arial"/>
          <w:b/>
          <w:bCs/>
          <w:sz w:val="32"/>
          <w:szCs w:val="32"/>
          <w:bdr w:val="nil"/>
          <w:lang w:val="de-DE"/>
        </w:rPr>
        <w:t>GEODIS u</w:t>
      </w:r>
      <w:r w:rsidR="009E185F" w:rsidRPr="002A00CE">
        <w:rPr>
          <w:rFonts w:ascii="Arial" w:eastAsia="Arial" w:hAnsi="Arial" w:cs="Arial"/>
          <w:b/>
          <w:bCs/>
          <w:sz w:val="32"/>
          <w:szCs w:val="32"/>
          <w:bdr w:val="nil"/>
          <w:lang w:val="de-DE"/>
        </w:rPr>
        <w:t>nd DELTADRONE starten</w:t>
      </w:r>
      <w:r w:rsidR="003E564F" w:rsidRPr="002A00CE">
        <w:rPr>
          <w:rFonts w:ascii="Arial" w:eastAsia="Arial" w:hAnsi="Arial" w:cs="Arial"/>
          <w:b/>
          <w:bCs/>
          <w:sz w:val="32"/>
          <w:szCs w:val="32"/>
          <w:bdr w:val="nil"/>
          <w:lang w:val="de-DE"/>
        </w:rPr>
        <w:t xml:space="preserve"> in die </w:t>
      </w:r>
      <w:r w:rsidRPr="002A00CE">
        <w:rPr>
          <w:rFonts w:ascii="Arial" w:eastAsia="Arial" w:hAnsi="Arial" w:cs="Arial"/>
          <w:b/>
          <w:bCs/>
          <w:sz w:val="32"/>
          <w:szCs w:val="32"/>
          <w:bdr w:val="nil"/>
          <w:lang w:val="de-DE"/>
        </w:rPr>
        <w:t>Industrialisierung</w:t>
      </w:r>
      <w:r w:rsidR="003E564F" w:rsidRPr="002A00CE">
        <w:rPr>
          <w:rFonts w:ascii="Arial" w:eastAsia="Arial" w:hAnsi="Arial" w:cs="Arial"/>
          <w:b/>
          <w:bCs/>
          <w:sz w:val="32"/>
          <w:szCs w:val="32"/>
          <w:bdr w:val="nil"/>
          <w:lang w:val="de-DE"/>
        </w:rPr>
        <w:t>sphase</w:t>
      </w:r>
      <w:r w:rsidRPr="002A00CE">
        <w:rPr>
          <w:rFonts w:ascii="Arial" w:eastAsia="Arial" w:hAnsi="Arial" w:cs="Arial"/>
          <w:b/>
          <w:bCs/>
          <w:sz w:val="32"/>
          <w:szCs w:val="32"/>
          <w:bdr w:val="nil"/>
          <w:lang w:val="de-DE"/>
        </w:rPr>
        <w:t xml:space="preserve"> </w:t>
      </w:r>
      <w:r w:rsidR="003E564F" w:rsidRPr="002A00CE">
        <w:rPr>
          <w:rFonts w:ascii="Arial" w:eastAsia="Arial" w:hAnsi="Arial" w:cs="Arial"/>
          <w:b/>
          <w:bCs/>
          <w:sz w:val="32"/>
          <w:szCs w:val="32"/>
          <w:bdr w:val="nil"/>
          <w:lang w:val="de-DE"/>
        </w:rPr>
        <w:t xml:space="preserve">zur Produktion </w:t>
      </w:r>
      <w:r w:rsidRPr="002A00CE">
        <w:rPr>
          <w:rFonts w:ascii="Arial" w:eastAsia="Arial" w:hAnsi="Arial" w:cs="Arial"/>
          <w:b/>
          <w:bCs/>
          <w:sz w:val="32"/>
          <w:szCs w:val="32"/>
          <w:bdr w:val="nil"/>
          <w:lang w:val="de-DE"/>
        </w:rPr>
        <w:t>ihrer vollständig au</w:t>
      </w:r>
      <w:r w:rsidR="003E564F" w:rsidRPr="002A00CE">
        <w:rPr>
          <w:rFonts w:ascii="Arial" w:eastAsia="Arial" w:hAnsi="Arial" w:cs="Arial"/>
          <w:b/>
          <w:bCs/>
          <w:sz w:val="32"/>
          <w:szCs w:val="32"/>
          <w:bdr w:val="nil"/>
          <w:lang w:val="de-DE"/>
        </w:rPr>
        <w:t xml:space="preserve">tomatisierten </w:t>
      </w:r>
      <w:r w:rsidR="000A0A0D">
        <w:rPr>
          <w:rFonts w:ascii="Arial" w:eastAsia="Arial" w:hAnsi="Arial" w:cs="Arial"/>
          <w:b/>
          <w:bCs/>
          <w:sz w:val="32"/>
          <w:szCs w:val="32"/>
          <w:bdr w:val="nil"/>
          <w:lang w:val="de-DE"/>
        </w:rPr>
        <w:t>Lösung</w:t>
      </w:r>
    </w:p>
    <w:p w14:paraId="18146E2A" w14:textId="77777777" w:rsidR="003367C8" w:rsidRPr="002A00CE" w:rsidRDefault="003367C8" w:rsidP="003367C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62D2F88E" w14:textId="77777777" w:rsidR="003367C8" w:rsidRPr="002A00CE" w:rsidRDefault="003367C8" w:rsidP="003367C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Nach fast zweijähriger Entwicklungszeit wird </w:t>
      </w:r>
      <w:r w:rsidR="00AA2874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Ende 2018 </w:t>
      </w:r>
      <w:r w:rsidR="002C771C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die </w:t>
      </w:r>
      <w:r w:rsidR="005E267C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von GEODIS und DELTADRONE perfektionierte</w:t>
      </w:r>
      <w:r w:rsidR="00AA2874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</w:t>
      </w:r>
      <w:r w:rsidR="005E267C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Lösung zur </w:t>
      </w:r>
      <w:r w:rsidR="002C771C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voll</w:t>
      </w:r>
      <w:r w:rsidR="005E267C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automatischen L</w:t>
      </w:r>
      <w:r w:rsidR="00AA2874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agerbestandsführung mit Drohnen</w:t>
      </w: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in Betrieb gehen.</w:t>
      </w:r>
    </w:p>
    <w:p w14:paraId="52963B5F" w14:textId="77777777" w:rsidR="003367C8" w:rsidRPr="002A00CE" w:rsidRDefault="003367C8" w:rsidP="003367C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687098E8" w14:textId="4E83FDB6" w:rsidR="00AA2874" w:rsidRPr="002A00CE" w:rsidRDefault="003367C8" w:rsidP="003367C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Mehr als 1.000 Flugstunden im Prototyp-Modus </w:t>
      </w:r>
      <w:r w:rsidR="00753707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wa</w:t>
      </w:r>
      <w:r w:rsidR="00AA2874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ren</w:t>
      </w:r>
      <w:r w:rsidR="00753707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</w:t>
      </w:r>
      <w:r w:rsidR="00AA2874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in drei </w:t>
      </w:r>
      <w:r w:rsidR="000A0A0D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ausgewählten </w:t>
      </w:r>
      <w:r w:rsidR="005558C8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Testlagern </w:t>
      </w:r>
      <w:bookmarkStart w:id="0" w:name="_GoBack"/>
      <w:bookmarkEnd w:id="0"/>
      <w:r w:rsidR="00AA2874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erforderlich, um diese einzigartige Lösung zu entwickeln</w:t>
      </w: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, die es Unterneh</w:t>
      </w:r>
      <w:r w:rsidR="00AA2874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men ermöglicht, eine vollautomatisierte Lagerbestandsführung durchzuführen, ohne den</w:t>
      </w: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normalen Betrieb</w:t>
      </w:r>
      <w:r w:rsidR="00AA2874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sablauf</w:t>
      </w: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</w:t>
      </w:r>
      <w:r w:rsidR="00AA2874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durch menschliche Eingriffe zu unterbrechen. Die wesentlichen Vorteile sind </w:t>
      </w: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Produktivitätsgewinne, </w:t>
      </w:r>
      <w:r w:rsidR="00AA2874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die</w:t>
      </w:r>
      <w:r w:rsidR="000A0A0D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eine Inventarisierung a</w:t>
      </w:r>
      <w:r w:rsidR="00AB3FCE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ußerhalb der Betriebszeiten ermöglichen, mehr Sicherheit am Arbeitsplatz der Mitarbeiter, die diese mühsamen und oft gefährlichen Aufgaben nicht mehr ausführen müssen</w:t>
      </w:r>
      <w:r w:rsidR="002A00CE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,</w:t>
      </w:r>
      <w:r w:rsidR="00AB3FCE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sowie eine größere Zuverlässigkeit Im Lagerbestand.</w:t>
      </w:r>
    </w:p>
    <w:p w14:paraId="42A6DD9D" w14:textId="77777777" w:rsidR="003367C8" w:rsidRPr="002A00CE" w:rsidRDefault="003367C8" w:rsidP="003367C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1690A801" w14:textId="3920D926" w:rsidR="003367C8" w:rsidRPr="00781D61" w:rsidRDefault="003367C8" w:rsidP="003367C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In der </w:t>
      </w:r>
      <w:proofErr w:type="spellStart"/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Prototyping</w:t>
      </w:r>
      <w:proofErr w:type="spellEnd"/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-Phase wurden mehrere Tests unter realen Betriebsbedingungen durchgeführt, um </w:t>
      </w:r>
      <w:r w:rsid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das System </w:t>
      </w:r>
      <w:r w:rsid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auf</w:t>
      </w:r>
      <w:r w:rsid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</w:t>
      </w:r>
      <w:r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die</w:t>
      </w:r>
      <w:r w:rsidR="008873E4"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sp</w:t>
      </w:r>
      <w:r w:rsidR="001D7A0B"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ezifischen </w:t>
      </w:r>
      <w:r w:rsid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Bedingungen in den</w:t>
      </w:r>
      <w:r w:rsidR="008873E4"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Lager</w:t>
      </w:r>
      <w:r w:rsid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n</w:t>
      </w:r>
      <w:r w:rsidR="00EE2405"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</w:t>
      </w:r>
      <w:r w:rsid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auszurichten</w:t>
      </w:r>
      <w:r w:rsidR="00EE2405"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. Hierzu zählen </w:t>
      </w:r>
      <w:r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z. B. </w:t>
      </w:r>
      <w:r w:rsidR="002E14E6"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schlechte </w:t>
      </w:r>
      <w:r w:rsid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Lichtverhältnisse</w:t>
      </w:r>
      <w:r w:rsidR="00781D61"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</w:t>
      </w:r>
      <w:r w:rsidR="00EE2405"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oder die Auswirkung</w:t>
      </w:r>
      <w:r w:rsidR="008873E4"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von</w:t>
      </w:r>
      <w:r w:rsidR="001D7A0B"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Kunststoff</w:t>
      </w:r>
      <w:r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folie</w:t>
      </w:r>
      <w:r w:rsidR="001D7A0B"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zum Schutz von </w:t>
      </w:r>
      <w:r w:rsidR="008873E4"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Paletten</w:t>
      </w:r>
      <w:r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auf die Bilderfassung, die </w:t>
      </w:r>
      <w:r w:rsid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es nötig machte, die in den Drohnen integrierten Kameras </w:t>
      </w:r>
      <w:r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speziell </w:t>
      </w:r>
      <w:r w:rsid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anzupassen</w:t>
      </w:r>
      <w:r w:rsidRPr="00781D61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.</w:t>
      </w:r>
    </w:p>
    <w:p w14:paraId="4689EB48" w14:textId="77777777" w:rsidR="003367C8" w:rsidRPr="002A00CE" w:rsidRDefault="003367C8" w:rsidP="003367C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3413F67C" w14:textId="3C37485E" w:rsidR="003367C8" w:rsidRPr="002A00CE" w:rsidRDefault="003367C8" w:rsidP="003367C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Diese Phase endete im Jahr 2017 mit der Entwicklung einer vollstä</w:t>
      </w:r>
      <w:r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ndigen "Pl</w:t>
      </w:r>
      <w:r w:rsidR="00EE2405"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ug-</w:t>
      </w:r>
      <w:proofErr w:type="spellStart"/>
      <w:r w:rsidR="00EE2405"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and</w:t>
      </w:r>
      <w:proofErr w:type="spellEnd"/>
      <w:r w:rsidR="00EE2405"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-Play"-Lösung, die den Einsatz von einem </w:t>
      </w:r>
      <w:r w:rsidR="00F161E5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Lager in das andere </w:t>
      </w:r>
      <w:r w:rsidR="000A20B0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problemlos ermöglicht, </w:t>
      </w:r>
      <w:r w:rsidR="00EE2405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ohne </w:t>
      </w:r>
      <w:r w:rsidR="000A20B0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dass</w:t>
      </w:r>
      <w:r w:rsidR="00EE2405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</w:t>
      </w:r>
      <w:r w:rsidR="000A20B0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zuvor </w:t>
      </w:r>
      <w:r w:rsidR="00EE2405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wesentliche Anpassungen</w:t>
      </w:r>
      <w:r w:rsidR="000A20B0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</w:t>
      </w: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vorgenommen werden müssen. Diese Lösung </w:t>
      </w:r>
      <w:r w:rsidR="002E14E6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ist mit allen </w:t>
      </w: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Wareho</w:t>
      </w:r>
      <w:r w:rsidR="002E14E6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use Management Systemen (WMS) kompatibel</w:t>
      </w: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.</w:t>
      </w:r>
    </w:p>
    <w:p w14:paraId="7CE3B7E7" w14:textId="77777777" w:rsidR="003367C8" w:rsidRPr="002A00CE" w:rsidRDefault="003367C8" w:rsidP="003367C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47131659" w14:textId="2FE01584" w:rsidR="003367C8" w:rsidRPr="002A00CE" w:rsidRDefault="002E14E6" w:rsidP="003367C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Aufgrund der </w:t>
      </w:r>
      <w:r w:rsidR="003367C8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positiven Ergebnisse arbeiten GEOD</w:t>
      </w:r>
      <w:r w:rsidR="000A20B0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IS und DELTADRONE nun an einem </w:t>
      </w:r>
      <w:r w:rsid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produktionsreifen System</w:t>
      </w:r>
      <w:r w:rsidR="003367C8"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. Dabei konzentrieren si</w:t>
      </w:r>
      <w:r w:rsidR="00FA76B4"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e sich auf das Lösungskonzept</w:t>
      </w:r>
      <w:r w:rsidR="003367C8"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und die endgültige Auswahl der besten Komponenten. </w:t>
      </w:r>
      <w:r w:rsidR="00FA76B4"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Ziel ist es, Ende des Jahres mit der </w:t>
      </w:r>
      <w:r w:rsidR="003367C8"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industrielle</w:t>
      </w:r>
      <w:r w:rsidR="00FA76B4"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n</w:t>
      </w:r>
      <w:r w:rsidR="003367C8"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Produkti</w:t>
      </w:r>
      <w:r w:rsidR="00FA76B4"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on zu starten</w:t>
      </w:r>
      <w:r w:rsidR="003367C8"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. Zunächst wird GEODIS diese Lösung exklusiv in seinen eigenen Lagern einsetzen.</w:t>
      </w:r>
    </w:p>
    <w:p w14:paraId="424D30DE" w14:textId="77777777" w:rsidR="003367C8" w:rsidRPr="002A00CE" w:rsidRDefault="003367C8" w:rsidP="003367C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26589B01" w14:textId="731A3B50" w:rsidR="003367C8" w:rsidRPr="002A00CE" w:rsidRDefault="003367C8" w:rsidP="003367C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Die von den Ingenieurteams GEODIS und DELTADRONE entwic</w:t>
      </w:r>
      <w:r w:rsidR="00FA76B4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kelte Lösung ist einzigartig. Sie</w:t>
      </w: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kombiniert einen bodengestützten Roboter, der mit einer Batterie ausgestattet ist, die die nötige Energie für die Navigation in einem Lagerhaus liefert und die</w:t>
      </w:r>
      <w:r w:rsidR="000A0A0D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erforderliche Bewegungsfreiheit bietet</w:t>
      </w:r>
      <w:r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sowie eine </w:t>
      </w:r>
      <w:proofErr w:type="spellStart"/>
      <w:r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Quadcopter</w:t>
      </w:r>
      <w:proofErr w:type="spellEnd"/>
      <w:r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-Drohne mit vier hochauflösenden Kameras. Dieses Set</w:t>
      </w:r>
      <w:r w:rsid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ist</w:t>
      </w:r>
      <w:r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</w:t>
      </w:r>
      <w:r w:rsidR="008450CD"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mit </w:t>
      </w:r>
      <w:proofErr w:type="spellStart"/>
      <w:r w:rsidR="008450CD"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Indoor</w:t>
      </w:r>
      <w:proofErr w:type="spellEnd"/>
      <w:r w:rsidR="008450CD"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-Geoortungst</w:t>
      </w:r>
      <w:r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echnologie</w:t>
      </w:r>
      <w:r w:rsidR="00291882"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</w:t>
      </w:r>
      <w:r w:rsidR="00291882" w:rsidRPr="001D7236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aus</w:t>
      </w:r>
      <w:r w:rsidR="00291882" w:rsidRPr="00EF151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gestattet</w:t>
      </w:r>
      <w:r w:rsid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und</w:t>
      </w:r>
      <w:r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funktion</w:t>
      </w:r>
      <w:r w:rsidR="008450CD"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iert autonom</w:t>
      </w:r>
      <w:r w:rsid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während</w:t>
      </w:r>
      <w:r w:rsidR="008450CD"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das Lager geschlossen ist</w:t>
      </w:r>
      <w:r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. Aus IT-Sicht </w:t>
      </w:r>
      <w:r w:rsidR="008450CD"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ermöglicht die Lösung das Erfassen und Versenden</w:t>
      </w:r>
      <w:r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von Daten i</w:t>
      </w:r>
      <w:r w:rsidR="008450CD"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n Echtzeit, die </w:t>
      </w: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Daten</w:t>
      </w:r>
      <w:r w:rsidR="008450CD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verarbeitung</w:t>
      </w:r>
      <w:r w:rsidR="00F161E5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und deren Rückgabe ins</w:t>
      </w: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Informationssystem des Lagers. Die während dieser ersten Entwicklungsphase durchgeführten Tests zeigen, dass die</w:t>
      </w:r>
      <w:r w:rsidR="00FE2994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se</w:t>
      </w: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Lösung eine</w:t>
      </w:r>
      <w:r w:rsidR="00FE2994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Lagerbestandsführung mit einer Zuverlässigkeitsquote von nahezu</w:t>
      </w: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100% ermöglicht.</w:t>
      </w:r>
    </w:p>
    <w:p w14:paraId="303F2D7C" w14:textId="77777777" w:rsidR="003367C8" w:rsidRPr="002A00CE" w:rsidRDefault="003367C8" w:rsidP="00825079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02C0C9C3" w14:textId="77777777" w:rsidR="00FE2994" w:rsidRPr="002A00CE" w:rsidRDefault="00FE2994" w:rsidP="00FE2994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3908FDE7" w14:textId="77777777" w:rsidR="00FE2994" w:rsidRPr="002A00CE" w:rsidRDefault="00FE2994" w:rsidP="00FE2994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29016C60" w14:textId="77777777" w:rsidR="00FE2994" w:rsidRPr="002A00CE" w:rsidRDefault="00FE2994" w:rsidP="00FE2994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36A7671B" w14:textId="77777777" w:rsidR="00FE2994" w:rsidRPr="002A00CE" w:rsidRDefault="00FE2994" w:rsidP="00FE2994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4F2B548B" w14:textId="77777777" w:rsidR="00FE2994" w:rsidRPr="002A00CE" w:rsidRDefault="00FE2994" w:rsidP="00FE2994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4C573B40" w14:textId="77777777" w:rsidR="00FE2994" w:rsidRPr="002A00CE" w:rsidRDefault="00FE2994" w:rsidP="00FE2994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i/>
          <w:iCs/>
          <w:sz w:val="20"/>
          <w:szCs w:val="20"/>
          <w:bdr w:val="nil"/>
          <w:lang w:val="de-DE"/>
        </w:rPr>
      </w:pPr>
      <w:r w:rsidRPr="002A00CE">
        <w:rPr>
          <w:rFonts w:ascii="Arial" w:eastAsia="Arial" w:hAnsi="Arial" w:cs="Arial"/>
          <w:b/>
          <w:bCs/>
          <w:i/>
          <w:iCs/>
          <w:sz w:val="20"/>
          <w:szCs w:val="20"/>
          <w:u w:val="single"/>
          <w:bdr w:val="nil"/>
          <w:lang w:val="de-DE"/>
        </w:rPr>
        <w:t xml:space="preserve">Über Delta </w:t>
      </w:r>
      <w:proofErr w:type="spellStart"/>
      <w:r w:rsidRPr="002A00CE">
        <w:rPr>
          <w:rFonts w:ascii="Arial" w:eastAsia="Arial" w:hAnsi="Arial" w:cs="Arial"/>
          <w:b/>
          <w:bCs/>
          <w:i/>
          <w:iCs/>
          <w:sz w:val="20"/>
          <w:szCs w:val="20"/>
          <w:u w:val="single"/>
          <w:bdr w:val="nil"/>
          <w:lang w:val="de-DE"/>
        </w:rPr>
        <w:t>Drone</w:t>
      </w:r>
      <w:proofErr w:type="spellEnd"/>
      <w:r w:rsidRPr="002A00CE">
        <w:rPr>
          <w:rFonts w:ascii="Arial" w:eastAsia="Arial" w:hAnsi="Arial" w:cs="Arial"/>
          <w:i/>
          <w:iCs/>
          <w:sz w:val="20"/>
          <w:szCs w:val="20"/>
          <w:bdr w:val="nil"/>
          <w:lang w:val="de-DE"/>
        </w:rPr>
        <w:t xml:space="preserve">: </w:t>
      </w:r>
    </w:p>
    <w:p w14:paraId="4988EF86" w14:textId="77777777" w:rsidR="00FE2994" w:rsidRPr="002A00CE" w:rsidRDefault="00FE2994" w:rsidP="00FE2994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2559C963" w14:textId="2414DD1D" w:rsidR="00FE2994" w:rsidRPr="00291882" w:rsidRDefault="00FE2994" w:rsidP="00FE2994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Die Delta </w:t>
      </w:r>
      <w:proofErr w:type="spellStart"/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Drone</w:t>
      </w:r>
      <w:proofErr w:type="spellEnd"/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Group ist ein renommierter internationaler Player im Bereich ziviler Drohnen für den prof</w:t>
      </w:r>
      <w:r w:rsidR="00F161E5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essionellen Einsatz. Das Angebot umfasst </w:t>
      </w: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eine breite Palette an Dienstleistungen, von der Datenerfassung bis hin zur Datenverarbeitung durch ein speziell entwickeltes Informationssystem, einschließlich der Bereitstel</w:t>
      </w:r>
      <w:r w:rsidR="00F161E5"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lung v</w:t>
      </w:r>
      <w:r w:rsidR="000A0A0D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on professionellen Piloten.</w:t>
      </w:r>
    </w:p>
    <w:p w14:paraId="008FAF6A" w14:textId="77777777" w:rsidR="00FE2994" w:rsidRPr="002A00CE" w:rsidRDefault="00FE2994" w:rsidP="00FE2994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Delta </w:t>
      </w:r>
      <w:proofErr w:type="spellStart"/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Drone</w:t>
      </w:r>
      <w:proofErr w:type="spellEnd"/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 xml:space="preserve"> ist an der Euronext Growth Paris gelistet - ISIN-Code: FR0011522168</w:t>
      </w:r>
    </w:p>
    <w:p w14:paraId="23491DD2" w14:textId="77777777" w:rsidR="003E564F" w:rsidRPr="002A00CE" w:rsidRDefault="00FE2994" w:rsidP="00FE2994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  <w:r w:rsidRPr="002A00CE"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  <w:t>4 166 666 BSA sind ebenfalls an der Euronext Growth Paris - ISIN-Code: FR001329977 notiert.</w:t>
      </w:r>
    </w:p>
    <w:p w14:paraId="4709D07D" w14:textId="77777777" w:rsidR="00FE2994" w:rsidRPr="002A00CE" w:rsidRDefault="004777D3" w:rsidP="00FE2994">
      <w:pPr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  <w:lang w:val="de-DE"/>
        </w:rPr>
      </w:pPr>
      <w:hyperlink r:id="rId7" w:history="1">
        <w:r w:rsidR="00FE2994" w:rsidRPr="001D7236">
          <w:rPr>
            <w:rFonts w:ascii="Arial" w:eastAsia="Arial" w:hAnsi="Arial" w:cs="Arial"/>
            <w:color w:val="0000FF"/>
            <w:sz w:val="20"/>
            <w:szCs w:val="20"/>
            <w:u w:val="single"/>
            <w:bdr w:val="nil"/>
            <w:lang w:val="de-DE"/>
          </w:rPr>
          <w:t>www.deltadrone.com</w:t>
        </w:r>
      </w:hyperlink>
    </w:p>
    <w:p w14:paraId="5E903086" w14:textId="77777777" w:rsidR="00FE2994" w:rsidRPr="001D7236" w:rsidRDefault="00FE2994" w:rsidP="00FE2994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5CA2766B" w14:textId="77777777" w:rsidR="00F161E5" w:rsidRPr="002A00CE" w:rsidRDefault="00F161E5" w:rsidP="00F161E5">
      <w:pPr>
        <w:jc w:val="both"/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de-DE" w:eastAsia="en-US"/>
        </w:rPr>
      </w:pPr>
      <w:r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 w:eastAsia="en-US"/>
        </w:rPr>
        <w:t xml:space="preserve">GEODIS </w:t>
      </w:r>
      <w:r w:rsidR="00174492"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 w:eastAsia="en-US"/>
        </w:rPr>
        <w:t>–</w:t>
      </w:r>
      <w:r w:rsidRPr="00291882">
        <w:rPr>
          <w:rFonts w:ascii="Arial" w:eastAsia="Arial" w:hAnsi="Arial" w:cs="Arial"/>
          <w:b/>
          <w:bCs/>
          <w:sz w:val="20"/>
          <w:szCs w:val="20"/>
          <w:bdr w:val="nil"/>
          <w:lang w:val="de-DE" w:eastAsia="en-US"/>
        </w:rPr>
        <w:t xml:space="preserve"> </w:t>
      </w:r>
      <w:hyperlink r:id="rId8" w:history="1">
        <w:r w:rsidR="00174492" w:rsidRPr="001D7236">
          <w:rPr>
            <w:rStyle w:val="Hyperlink"/>
            <w:rFonts w:ascii="Arial" w:eastAsia="Arial" w:hAnsi="Arial" w:cs="Arial"/>
            <w:b/>
            <w:bCs/>
            <w:sz w:val="20"/>
            <w:szCs w:val="20"/>
            <w:bdr w:val="nil"/>
            <w:lang w:val="de-DE" w:eastAsia="en-US"/>
          </w:rPr>
          <w:t>www.geodis.com</w:t>
        </w:r>
      </w:hyperlink>
    </w:p>
    <w:p w14:paraId="5FA5DCBB" w14:textId="77777777" w:rsidR="00F161E5" w:rsidRPr="001D7236" w:rsidRDefault="00F161E5" w:rsidP="00F161E5">
      <w:pPr>
        <w:jc w:val="both"/>
        <w:rPr>
          <w:rFonts w:ascii="Arial" w:eastAsia="Arial" w:hAnsi="Arial" w:cs="Arial"/>
          <w:sz w:val="20"/>
          <w:szCs w:val="22"/>
          <w:lang w:val="de-DE" w:eastAsia="en-US"/>
        </w:rPr>
      </w:pPr>
    </w:p>
    <w:p w14:paraId="7911E76B" w14:textId="77777777" w:rsidR="002E3EBA" w:rsidRPr="002A00CE" w:rsidRDefault="002E3EBA" w:rsidP="002E3EBA">
      <w:pPr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</w:pPr>
      <w:r w:rsidRPr="00291882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GEODIS ist ein erstklassiger, weltweit führender </w:t>
      </w:r>
      <w:proofErr w:type="spellStart"/>
      <w:r w:rsidRPr="00291882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Supply</w:t>
      </w:r>
      <w:proofErr w:type="spellEnd"/>
      <w:r w:rsidRPr="00291882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 Chain Operator, der für seine Leide</w:t>
      </w:r>
      <w:r w:rsidR="002877A9" w:rsidRPr="00291882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nschaft und sein Engagement bekannt ist, Kunden bei der Lösung</w:t>
      </w:r>
      <w:r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 ih</w:t>
      </w:r>
      <w:r w:rsidR="002877A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rer logistischen Probleme</w:t>
      </w:r>
      <w:r w:rsidR="00C976C0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 zu unterstützen</w:t>
      </w:r>
      <w:r w:rsidR="00174492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. Als</w:t>
      </w:r>
      <w:r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 unangefochtener</w:t>
      </w:r>
      <w:r w:rsidR="002877A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 Marktführer in Frankreich, </w:t>
      </w:r>
      <w:r w:rsidR="00174492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belegt das Unternehmen </w:t>
      </w:r>
      <w:r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Pla</w:t>
      </w:r>
      <w:r w:rsidR="002877A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tz 4 in Europ</w:t>
      </w:r>
      <w:r w:rsidR="00174492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a und weltweit den 7.</w:t>
      </w:r>
      <w:r w:rsidR="00291882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 </w:t>
      </w:r>
      <w:r w:rsidR="00174492" w:rsidRPr="00291882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Rang</w:t>
      </w:r>
      <w:r w:rsidRPr="00291882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. Die wachstumsorientierten </w:t>
      </w:r>
      <w:r w:rsidR="00040BD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Dienstleistungsa</w:t>
      </w:r>
      <w:r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ngebote von GEODIS (</w:t>
      </w:r>
      <w:proofErr w:type="spellStart"/>
      <w:r w:rsidR="00040BD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Supply</w:t>
      </w:r>
      <w:proofErr w:type="spellEnd"/>
      <w:r w:rsidR="00040BD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 Chain </w:t>
      </w:r>
      <w:proofErr w:type="spellStart"/>
      <w:r w:rsidR="00040BD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Optimization</w:t>
      </w:r>
      <w:proofErr w:type="spellEnd"/>
      <w:r w:rsidR="00040BD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="00040BD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Freight</w:t>
      </w:r>
      <w:proofErr w:type="spellEnd"/>
      <w:r w:rsidR="00040BD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040BD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Forwarding</w:t>
      </w:r>
      <w:proofErr w:type="spellEnd"/>
      <w:r w:rsidR="00040BD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="00040BD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Contract</w:t>
      </w:r>
      <w:proofErr w:type="spellEnd"/>
      <w:r w:rsidR="00040BD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 Logistics, Distribution &amp; Express und Road Transport) </w:t>
      </w:r>
      <w:r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sowie der historische Erfolg des Unte</w:t>
      </w:r>
      <w:r w:rsidR="00040BD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rnehmens haben zu einer weltweiten </w:t>
      </w:r>
      <w:r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A</w:t>
      </w:r>
      <w:r w:rsidR="00040BD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nerkennung geführt, unter anderem zur Auszeichnung als "führendes Unternehmen</w:t>
      </w:r>
      <w:r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"</w:t>
      </w:r>
      <w:r w:rsidR="00C976C0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 in Gartners "Magic Quadrant </w:t>
      </w:r>
      <w:proofErr w:type="spellStart"/>
      <w:r w:rsidR="00C976C0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for</w:t>
      </w:r>
      <w:proofErr w:type="spellEnd"/>
      <w:r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 3PL</w:t>
      </w:r>
      <w:r w:rsidR="00040BD9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>s</w:t>
      </w:r>
      <w:r w:rsidR="00C976C0"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 Worldwide</w:t>
      </w:r>
      <w:r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 ".</w:t>
      </w:r>
    </w:p>
    <w:p w14:paraId="3EE7ECE1" w14:textId="77777777" w:rsidR="002E3EBA" w:rsidRPr="002A00CE" w:rsidRDefault="00C976C0" w:rsidP="002E3EBA">
      <w:pPr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</w:pPr>
      <w:r w:rsidRPr="002A00CE">
        <w:rPr>
          <w:rFonts w:ascii="Arial" w:hAnsi="Arial" w:cs="Arial"/>
          <w:i/>
          <w:color w:val="292929"/>
          <w:sz w:val="20"/>
          <w:szCs w:val="20"/>
          <w:shd w:val="clear" w:color="auto" w:fill="FFFFFF"/>
          <w:lang w:val="de-DE"/>
        </w:rPr>
        <w:t xml:space="preserve">Derzeit verfügt das Unternehmen über </w:t>
      </w:r>
      <w:r w:rsidRPr="002A00CE">
        <w:rPr>
          <w:rFonts w:ascii="Arial" w:eastAsia="Arial" w:hAnsi="Arial" w:cs="Arial"/>
          <w:i/>
          <w:color w:val="000000"/>
          <w:sz w:val="20"/>
          <w:szCs w:val="20"/>
          <w:bdr w:val="nil"/>
          <w:lang w:val="de-DE"/>
        </w:rPr>
        <w:t>40.500 Mitarbeiter, eine direkte Präsenz in 67 Ländern und über ein globales, 120 Länder umfassendes Netzwerk. In 2017 erzielte GEODIS einen Umsatz von 8,1 Milliarde</w:t>
      </w:r>
      <w:r w:rsidR="00174492" w:rsidRPr="002A00CE">
        <w:rPr>
          <w:rFonts w:ascii="Arial" w:eastAsia="Arial" w:hAnsi="Arial" w:cs="Arial"/>
          <w:i/>
          <w:color w:val="000000"/>
          <w:sz w:val="20"/>
          <w:szCs w:val="20"/>
          <w:bdr w:val="nil"/>
          <w:lang w:val="de-DE"/>
        </w:rPr>
        <w:t>n Euro und positioniert sich damit auch weiterhin für ein globales Wachstum.</w:t>
      </w:r>
    </w:p>
    <w:p w14:paraId="62775B10" w14:textId="77777777" w:rsidR="00C976C0" w:rsidRPr="002A00CE" w:rsidRDefault="00C976C0" w:rsidP="002E3EBA">
      <w:pPr>
        <w:rPr>
          <w:color w:val="292929"/>
          <w:shd w:val="clear" w:color="auto" w:fill="FFFFFF"/>
          <w:lang w:val="de-DE"/>
        </w:rPr>
      </w:pPr>
    </w:p>
    <w:p w14:paraId="17ED6129" w14:textId="77777777" w:rsidR="00174492" w:rsidRPr="000A0A0D" w:rsidRDefault="00174492" w:rsidP="00174492">
      <w:pPr>
        <w:jc w:val="both"/>
        <w:rPr>
          <w:rFonts w:ascii="Arial" w:eastAsia="Arial" w:hAnsi="Arial" w:cs="Arial"/>
          <w:b/>
          <w:sz w:val="20"/>
          <w:szCs w:val="22"/>
          <w:lang w:val="en-US" w:eastAsia="en-US"/>
        </w:rPr>
      </w:pPr>
      <w:r w:rsidRPr="000A0A0D">
        <w:rPr>
          <w:rFonts w:ascii="Arial" w:eastAsia="Arial" w:hAnsi="Arial" w:cs="Arial"/>
          <w:b/>
          <w:bCs/>
          <w:sz w:val="20"/>
          <w:szCs w:val="20"/>
          <w:bdr w:val="nil"/>
          <w:lang w:val="en-US" w:eastAsia="en-US"/>
        </w:rPr>
        <w:t>PRESSEKONTAKTE</w:t>
      </w:r>
    </w:p>
    <w:p w14:paraId="08B52E66" w14:textId="77777777" w:rsidR="00174492" w:rsidRPr="000A0A0D" w:rsidRDefault="00174492" w:rsidP="00174492">
      <w:pPr>
        <w:jc w:val="both"/>
        <w:rPr>
          <w:rFonts w:ascii="Arial" w:eastAsia="Arial" w:hAnsi="Arial" w:cs="Arial"/>
          <w:sz w:val="20"/>
          <w:szCs w:val="22"/>
          <w:lang w:val="en-US" w:eastAsia="en-US"/>
        </w:rPr>
      </w:pPr>
    </w:p>
    <w:p w14:paraId="29C1C3FE" w14:textId="77777777" w:rsidR="00174492" w:rsidRPr="000A0A0D" w:rsidRDefault="00174492" w:rsidP="00174492">
      <w:pPr>
        <w:jc w:val="both"/>
        <w:rPr>
          <w:rFonts w:ascii="Arial" w:eastAsia="Arial" w:hAnsi="Arial" w:cs="Arial"/>
          <w:b/>
          <w:sz w:val="20"/>
          <w:szCs w:val="22"/>
          <w:lang w:val="en-US" w:eastAsia="en-US"/>
        </w:rPr>
      </w:pPr>
      <w:r w:rsidRPr="000A0A0D">
        <w:rPr>
          <w:rFonts w:ascii="Arial" w:eastAsia="Arial" w:hAnsi="Arial" w:cs="Arial"/>
          <w:b/>
          <w:bCs/>
          <w:sz w:val="20"/>
          <w:szCs w:val="20"/>
          <w:bdr w:val="nil"/>
          <w:lang w:val="en-US" w:eastAsia="en-US"/>
        </w:rPr>
        <w:t>GEODIS</w:t>
      </w:r>
    </w:p>
    <w:p w14:paraId="09889EF3" w14:textId="77777777" w:rsidR="00174492" w:rsidRPr="000A0A0D" w:rsidRDefault="00174492" w:rsidP="00174492">
      <w:pPr>
        <w:jc w:val="both"/>
        <w:rPr>
          <w:rFonts w:ascii="Arial" w:eastAsia="Arial" w:hAnsi="Arial" w:cs="Arial"/>
          <w:sz w:val="20"/>
          <w:szCs w:val="22"/>
          <w:lang w:val="en-US" w:eastAsia="en-US"/>
        </w:rPr>
      </w:pPr>
      <w:r w:rsidRPr="000A0A0D">
        <w:rPr>
          <w:rFonts w:ascii="Arial" w:eastAsia="Arial" w:hAnsi="Arial" w:cs="Arial"/>
          <w:sz w:val="20"/>
          <w:szCs w:val="20"/>
          <w:bdr w:val="nil"/>
          <w:lang w:val="en-US" w:eastAsia="en-US"/>
        </w:rPr>
        <w:t>Peggy Dufour</w:t>
      </w:r>
    </w:p>
    <w:p w14:paraId="5946822E" w14:textId="77777777" w:rsidR="00174492" w:rsidRPr="000A0A0D" w:rsidRDefault="00174492" w:rsidP="00174492">
      <w:pPr>
        <w:jc w:val="both"/>
        <w:rPr>
          <w:rFonts w:ascii="Arial" w:eastAsia="Arial" w:hAnsi="Arial" w:cs="Arial"/>
          <w:sz w:val="20"/>
          <w:szCs w:val="22"/>
          <w:lang w:val="en-US" w:eastAsia="en-US"/>
        </w:rPr>
      </w:pPr>
      <w:r w:rsidRPr="000A0A0D">
        <w:rPr>
          <w:rFonts w:ascii="Arial" w:eastAsia="Arial" w:hAnsi="Arial" w:cs="Arial"/>
          <w:sz w:val="20"/>
          <w:szCs w:val="20"/>
          <w:bdr w:val="nil"/>
          <w:lang w:val="en-US" w:eastAsia="en-US"/>
        </w:rPr>
        <w:t xml:space="preserve">Communications Department </w:t>
      </w:r>
    </w:p>
    <w:p w14:paraId="00FCF781" w14:textId="77777777" w:rsidR="00174492" w:rsidRPr="000A0A0D" w:rsidRDefault="00174492" w:rsidP="00174492">
      <w:pPr>
        <w:jc w:val="both"/>
        <w:rPr>
          <w:rFonts w:ascii="Arial" w:eastAsia="Arial" w:hAnsi="Arial" w:cs="Arial"/>
          <w:sz w:val="20"/>
          <w:szCs w:val="22"/>
          <w:lang w:val="da-DK" w:eastAsia="en-US"/>
        </w:rPr>
      </w:pPr>
      <w:r w:rsidRPr="000A0A0D">
        <w:rPr>
          <w:rFonts w:ascii="Arial" w:eastAsia="Arial" w:hAnsi="Arial" w:cs="Arial"/>
          <w:sz w:val="20"/>
          <w:szCs w:val="20"/>
          <w:bdr w:val="nil"/>
          <w:lang w:val="da-DK" w:eastAsia="en-US"/>
        </w:rPr>
        <w:t>00 33 (0)1 56 76 27 72</w:t>
      </w:r>
    </w:p>
    <w:p w14:paraId="03AFCCB6" w14:textId="77777777" w:rsidR="00174492" w:rsidRPr="000A0A0D" w:rsidRDefault="004777D3" w:rsidP="00174492">
      <w:pPr>
        <w:jc w:val="both"/>
        <w:rPr>
          <w:rFonts w:ascii="Arial" w:eastAsia="Arial" w:hAnsi="Arial" w:cs="Arial"/>
          <w:sz w:val="20"/>
          <w:szCs w:val="22"/>
          <w:lang w:val="da-DK" w:eastAsia="en-US"/>
        </w:rPr>
      </w:pPr>
      <w:hyperlink r:id="rId9" w:history="1">
        <w:r w:rsidR="00174492" w:rsidRPr="000A0A0D">
          <w:rPr>
            <w:rFonts w:ascii="Arial" w:eastAsia="Arial" w:hAnsi="Arial" w:cs="Arial"/>
            <w:color w:val="0000FF"/>
            <w:sz w:val="20"/>
            <w:szCs w:val="20"/>
            <w:u w:val="single"/>
            <w:bdr w:val="nil"/>
            <w:lang w:val="da-DK"/>
          </w:rPr>
          <w:t>peggy.dufour@geodis.com</w:t>
        </w:r>
      </w:hyperlink>
    </w:p>
    <w:p w14:paraId="0A4D021E" w14:textId="77777777" w:rsidR="00174492" w:rsidRPr="000A0A0D" w:rsidRDefault="00174492" w:rsidP="00174492">
      <w:pPr>
        <w:jc w:val="both"/>
        <w:rPr>
          <w:rFonts w:ascii="Arial" w:eastAsia="Arial" w:hAnsi="Arial" w:cs="Arial"/>
          <w:sz w:val="20"/>
          <w:szCs w:val="22"/>
          <w:lang w:val="da-DK" w:eastAsia="en-US"/>
        </w:rPr>
      </w:pPr>
    </w:p>
    <w:p w14:paraId="4756E703" w14:textId="77777777" w:rsidR="00174492" w:rsidRPr="000A0A0D" w:rsidRDefault="00174492" w:rsidP="00174492">
      <w:pPr>
        <w:jc w:val="both"/>
        <w:rPr>
          <w:rFonts w:ascii="Arial" w:eastAsia="Arial" w:hAnsi="Arial" w:cs="Arial"/>
          <w:b/>
          <w:sz w:val="20"/>
          <w:szCs w:val="22"/>
          <w:lang w:val="da-DK" w:eastAsia="en-US"/>
        </w:rPr>
      </w:pPr>
      <w:r w:rsidRPr="000A0A0D">
        <w:rPr>
          <w:rFonts w:ascii="Arial" w:eastAsia="Arial" w:hAnsi="Arial" w:cs="Arial"/>
          <w:b/>
          <w:bCs/>
          <w:sz w:val="20"/>
          <w:szCs w:val="20"/>
          <w:bdr w:val="nil"/>
          <w:lang w:val="da-DK" w:eastAsia="en-US"/>
        </w:rPr>
        <w:t>DELTA DRONE</w:t>
      </w:r>
    </w:p>
    <w:p w14:paraId="6BE93BCE" w14:textId="77777777" w:rsidR="00174492" w:rsidRPr="000A0A0D" w:rsidRDefault="00174492" w:rsidP="00174492">
      <w:pPr>
        <w:jc w:val="both"/>
        <w:rPr>
          <w:rFonts w:ascii="Arial" w:eastAsia="Arial" w:hAnsi="Arial" w:cs="Arial"/>
          <w:sz w:val="20"/>
          <w:szCs w:val="22"/>
          <w:lang w:val="da-DK" w:eastAsia="en-US"/>
        </w:rPr>
      </w:pPr>
      <w:r w:rsidRPr="000A0A0D">
        <w:rPr>
          <w:rFonts w:ascii="Arial" w:eastAsia="Arial" w:hAnsi="Arial" w:cs="Arial"/>
          <w:sz w:val="20"/>
          <w:szCs w:val="20"/>
          <w:bdr w:val="nil"/>
          <w:lang w:val="da-DK" w:eastAsia="en-US"/>
        </w:rPr>
        <w:t xml:space="preserve">Jérôme </w:t>
      </w:r>
      <w:proofErr w:type="spellStart"/>
      <w:r w:rsidRPr="000A0A0D">
        <w:rPr>
          <w:rFonts w:ascii="Arial" w:eastAsia="Arial" w:hAnsi="Arial" w:cs="Arial"/>
          <w:sz w:val="20"/>
          <w:szCs w:val="20"/>
          <w:bdr w:val="nil"/>
          <w:lang w:val="da-DK" w:eastAsia="en-US"/>
        </w:rPr>
        <w:t>Gacoin</w:t>
      </w:r>
      <w:proofErr w:type="spellEnd"/>
    </w:p>
    <w:p w14:paraId="6DA83875" w14:textId="77777777" w:rsidR="00174492" w:rsidRPr="001D7236" w:rsidRDefault="00174492" w:rsidP="00174492">
      <w:pPr>
        <w:jc w:val="both"/>
        <w:rPr>
          <w:rFonts w:ascii="Arial" w:eastAsia="Arial" w:hAnsi="Arial" w:cs="Arial"/>
          <w:sz w:val="20"/>
          <w:szCs w:val="22"/>
          <w:lang w:val="de-DE" w:eastAsia="en-US"/>
        </w:rPr>
      </w:pPr>
      <w:r w:rsidRPr="001D7236">
        <w:rPr>
          <w:rFonts w:ascii="Arial" w:eastAsia="Arial" w:hAnsi="Arial" w:cs="Arial"/>
          <w:sz w:val="20"/>
          <w:szCs w:val="20"/>
          <w:bdr w:val="nil"/>
          <w:lang w:val="de-DE" w:eastAsia="en-US"/>
        </w:rPr>
        <w:t>00 33 (0)1 75 77 54 65</w:t>
      </w:r>
    </w:p>
    <w:p w14:paraId="698ACCA0" w14:textId="77777777" w:rsidR="00174492" w:rsidRPr="001D7236" w:rsidRDefault="004777D3" w:rsidP="00174492">
      <w:pPr>
        <w:jc w:val="both"/>
        <w:rPr>
          <w:rFonts w:ascii="Arial" w:eastAsia="Arial" w:hAnsi="Arial" w:cs="Arial"/>
          <w:color w:val="0000FF"/>
          <w:sz w:val="20"/>
          <w:szCs w:val="22"/>
          <w:u w:val="single"/>
          <w:lang w:val="de-DE" w:eastAsia="en-US"/>
        </w:rPr>
      </w:pPr>
      <w:hyperlink r:id="rId10" w:history="1">
        <w:r w:rsidR="00174492" w:rsidRPr="001D7236">
          <w:rPr>
            <w:rFonts w:ascii="Arial" w:eastAsia="Arial" w:hAnsi="Arial" w:cs="Arial"/>
            <w:color w:val="0000FF"/>
            <w:sz w:val="20"/>
            <w:szCs w:val="20"/>
            <w:u w:val="single"/>
            <w:bdr w:val="nil"/>
            <w:lang w:val="de-DE"/>
          </w:rPr>
          <w:t>jgacoin@aelium.fr</w:t>
        </w:r>
      </w:hyperlink>
    </w:p>
    <w:p w14:paraId="0CD8F42A" w14:textId="77777777" w:rsidR="002E3EBA" w:rsidRPr="001D7236" w:rsidRDefault="002E3EBA" w:rsidP="00825079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p w14:paraId="0F3D94C0" w14:textId="77777777" w:rsidR="004139AA" w:rsidRPr="001D7236" w:rsidRDefault="004139AA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bdr w:val="nil"/>
          <w:lang w:val="de-DE"/>
        </w:rPr>
      </w:pPr>
    </w:p>
    <w:sectPr w:rsidR="004139AA" w:rsidRPr="001D7236" w:rsidSect="00825079">
      <w:headerReference w:type="default" r:id="rId11"/>
      <w:pgSz w:w="11900" w:h="16840"/>
      <w:pgMar w:top="2316" w:right="1417" w:bottom="9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F2496A" w16cid:durableId="1E77B67C"/>
  <w16cid:commentId w16cid:paraId="6DF7587F" w16cid:durableId="1E77B5CA"/>
  <w16cid:commentId w16cid:paraId="450AFD0B" w16cid:durableId="1E77BBAA"/>
  <w16cid:commentId w16cid:paraId="519A610B" w16cid:durableId="1E77BC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D53E1" w14:textId="77777777" w:rsidR="004777D3" w:rsidRDefault="004777D3" w:rsidP="00466D5B">
      <w:r>
        <w:separator/>
      </w:r>
    </w:p>
  </w:endnote>
  <w:endnote w:type="continuationSeparator" w:id="0">
    <w:p w14:paraId="1DE19A49" w14:textId="77777777" w:rsidR="004777D3" w:rsidRDefault="004777D3" w:rsidP="0046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A1A27" w14:textId="77777777" w:rsidR="004777D3" w:rsidRDefault="004777D3" w:rsidP="00466D5B">
      <w:r>
        <w:separator/>
      </w:r>
    </w:p>
  </w:footnote>
  <w:footnote w:type="continuationSeparator" w:id="0">
    <w:p w14:paraId="67ED79E6" w14:textId="77777777" w:rsidR="004777D3" w:rsidRDefault="004777D3" w:rsidP="0046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F66E" w14:textId="77777777" w:rsidR="005E796C" w:rsidRDefault="005E796C" w:rsidP="003E11C1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E17C3EE" wp14:editId="00C4627F">
          <wp:simplePos x="0" y="0"/>
          <wp:positionH relativeFrom="page">
            <wp:posOffset>4848860</wp:posOffset>
          </wp:positionH>
          <wp:positionV relativeFrom="paragraph">
            <wp:posOffset>148590</wp:posOffset>
          </wp:positionV>
          <wp:extent cx="2250440" cy="54292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006487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9035E3C" wp14:editId="6142CAD6">
          <wp:simplePos x="0" y="0"/>
          <wp:positionH relativeFrom="column">
            <wp:posOffset>-299720</wp:posOffset>
          </wp:positionH>
          <wp:positionV relativeFrom="paragraph">
            <wp:posOffset>-147320</wp:posOffset>
          </wp:positionV>
          <wp:extent cx="1143000" cy="1135582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221754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740" cy="1136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2447"/>
    <w:multiLevelType w:val="hybridMultilevel"/>
    <w:tmpl w:val="424CAD4C"/>
    <w:lvl w:ilvl="0" w:tplc="471EC05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826F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CC7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D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D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AF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AB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CB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65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490"/>
    <w:multiLevelType w:val="hybridMultilevel"/>
    <w:tmpl w:val="F30497EE"/>
    <w:lvl w:ilvl="0" w:tplc="B5D4192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B50B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45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C1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4D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86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E8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C5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28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4E02"/>
    <w:multiLevelType w:val="hybridMultilevel"/>
    <w:tmpl w:val="72E8943E"/>
    <w:lvl w:ilvl="0" w:tplc="BACCCB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C89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A5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4E3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A8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85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AA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64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C3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B2A9B"/>
    <w:multiLevelType w:val="hybridMultilevel"/>
    <w:tmpl w:val="DFF8C994"/>
    <w:lvl w:ilvl="0" w:tplc="8536CAF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90AA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41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5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80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E5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C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04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AC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2663E"/>
    <w:multiLevelType w:val="hybridMultilevel"/>
    <w:tmpl w:val="8B7205DA"/>
    <w:lvl w:ilvl="0" w:tplc="6928B7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D3C27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ED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E9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8F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08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29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63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0C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977E0"/>
    <w:multiLevelType w:val="hybridMultilevel"/>
    <w:tmpl w:val="3592AAB6"/>
    <w:lvl w:ilvl="0" w:tplc="0682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05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EE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C3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2B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9C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C7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AC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E6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FE"/>
    <w:rsid w:val="00040BD9"/>
    <w:rsid w:val="00042BF6"/>
    <w:rsid w:val="00052D29"/>
    <w:rsid w:val="00065291"/>
    <w:rsid w:val="00084CF5"/>
    <w:rsid w:val="00086651"/>
    <w:rsid w:val="000A03D4"/>
    <w:rsid w:val="000A0A0D"/>
    <w:rsid w:val="000A20B0"/>
    <w:rsid w:val="000B2774"/>
    <w:rsid w:val="000B3716"/>
    <w:rsid w:val="000C0FC2"/>
    <w:rsid w:val="000C1866"/>
    <w:rsid w:val="000C1D39"/>
    <w:rsid w:val="000C5D96"/>
    <w:rsid w:val="000D19F4"/>
    <w:rsid w:val="000D5810"/>
    <w:rsid w:val="00103CD7"/>
    <w:rsid w:val="00125A6C"/>
    <w:rsid w:val="00132DA6"/>
    <w:rsid w:val="001736AC"/>
    <w:rsid w:val="00174492"/>
    <w:rsid w:val="00174E5E"/>
    <w:rsid w:val="001973A0"/>
    <w:rsid w:val="001B0490"/>
    <w:rsid w:val="001C1333"/>
    <w:rsid w:val="001D2ED3"/>
    <w:rsid w:val="001D7236"/>
    <w:rsid w:val="001D7A0B"/>
    <w:rsid w:val="00203C93"/>
    <w:rsid w:val="002064CD"/>
    <w:rsid w:val="002077C8"/>
    <w:rsid w:val="0021288C"/>
    <w:rsid w:val="00214A47"/>
    <w:rsid w:val="00216FA0"/>
    <w:rsid w:val="00217954"/>
    <w:rsid w:val="00222D5D"/>
    <w:rsid w:val="002346B7"/>
    <w:rsid w:val="00236BF4"/>
    <w:rsid w:val="002459D0"/>
    <w:rsid w:val="00266BEA"/>
    <w:rsid w:val="00275E88"/>
    <w:rsid w:val="00283711"/>
    <w:rsid w:val="002877A9"/>
    <w:rsid w:val="00291882"/>
    <w:rsid w:val="002977DA"/>
    <w:rsid w:val="002A00CE"/>
    <w:rsid w:val="002A4608"/>
    <w:rsid w:val="002A6E2D"/>
    <w:rsid w:val="002C771C"/>
    <w:rsid w:val="002D0576"/>
    <w:rsid w:val="002D235F"/>
    <w:rsid w:val="002E14E6"/>
    <w:rsid w:val="002E3EBA"/>
    <w:rsid w:val="002F7C6D"/>
    <w:rsid w:val="00312B26"/>
    <w:rsid w:val="0031783A"/>
    <w:rsid w:val="00321257"/>
    <w:rsid w:val="00331F94"/>
    <w:rsid w:val="003367C8"/>
    <w:rsid w:val="003511C2"/>
    <w:rsid w:val="003519AD"/>
    <w:rsid w:val="00362E5E"/>
    <w:rsid w:val="00365EBE"/>
    <w:rsid w:val="003664A6"/>
    <w:rsid w:val="00375FAB"/>
    <w:rsid w:val="00383AB2"/>
    <w:rsid w:val="00386626"/>
    <w:rsid w:val="00393208"/>
    <w:rsid w:val="003B3F9B"/>
    <w:rsid w:val="003B796B"/>
    <w:rsid w:val="003C61F5"/>
    <w:rsid w:val="003E11C1"/>
    <w:rsid w:val="003E564F"/>
    <w:rsid w:val="003E79D7"/>
    <w:rsid w:val="003F5095"/>
    <w:rsid w:val="004139AA"/>
    <w:rsid w:val="00430A82"/>
    <w:rsid w:val="00440012"/>
    <w:rsid w:val="00447F27"/>
    <w:rsid w:val="00466D5B"/>
    <w:rsid w:val="00467039"/>
    <w:rsid w:val="00467E6E"/>
    <w:rsid w:val="004777D3"/>
    <w:rsid w:val="00486072"/>
    <w:rsid w:val="004924F9"/>
    <w:rsid w:val="00497C5F"/>
    <w:rsid w:val="004B6CA8"/>
    <w:rsid w:val="004D0C95"/>
    <w:rsid w:val="004F7289"/>
    <w:rsid w:val="004F7ED7"/>
    <w:rsid w:val="00527A8C"/>
    <w:rsid w:val="005558C8"/>
    <w:rsid w:val="00564526"/>
    <w:rsid w:val="005C4995"/>
    <w:rsid w:val="005E118F"/>
    <w:rsid w:val="005E267C"/>
    <w:rsid w:val="005E796C"/>
    <w:rsid w:val="005F039F"/>
    <w:rsid w:val="005F4636"/>
    <w:rsid w:val="005F5246"/>
    <w:rsid w:val="00603960"/>
    <w:rsid w:val="0061534A"/>
    <w:rsid w:val="006235AC"/>
    <w:rsid w:val="006241FF"/>
    <w:rsid w:val="00633004"/>
    <w:rsid w:val="00654026"/>
    <w:rsid w:val="00662C7C"/>
    <w:rsid w:val="0069082F"/>
    <w:rsid w:val="00692A88"/>
    <w:rsid w:val="00693232"/>
    <w:rsid w:val="006975A4"/>
    <w:rsid w:val="006A01B1"/>
    <w:rsid w:val="006B7528"/>
    <w:rsid w:val="006C6EF2"/>
    <w:rsid w:val="006D13AB"/>
    <w:rsid w:val="006D7F4A"/>
    <w:rsid w:val="006E0D13"/>
    <w:rsid w:val="006E1D47"/>
    <w:rsid w:val="00706A60"/>
    <w:rsid w:val="00723302"/>
    <w:rsid w:val="0073787F"/>
    <w:rsid w:val="00746FDD"/>
    <w:rsid w:val="00753707"/>
    <w:rsid w:val="0075542D"/>
    <w:rsid w:val="00766D24"/>
    <w:rsid w:val="007722D0"/>
    <w:rsid w:val="00775B66"/>
    <w:rsid w:val="00776033"/>
    <w:rsid w:val="00781D61"/>
    <w:rsid w:val="00793833"/>
    <w:rsid w:val="007A0852"/>
    <w:rsid w:val="007A5681"/>
    <w:rsid w:val="007C0F47"/>
    <w:rsid w:val="007C6E53"/>
    <w:rsid w:val="007D0731"/>
    <w:rsid w:val="007D7CB3"/>
    <w:rsid w:val="0080047F"/>
    <w:rsid w:val="00803670"/>
    <w:rsid w:val="008160EC"/>
    <w:rsid w:val="00823049"/>
    <w:rsid w:val="00825079"/>
    <w:rsid w:val="00825EFF"/>
    <w:rsid w:val="008450CD"/>
    <w:rsid w:val="00870B7A"/>
    <w:rsid w:val="00873EA7"/>
    <w:rsid w:val="00881864"/>
    <w:rsid w:val="008873E4"/>
    <w:rsid w:val="008A053B"/>
    <w:rsid w:val="008A406C"/>
    <w:rsid w:val="008C1CCE"/>
    <w:rsid w:val="008E6E54"/>
    <w:rsid w:val="00901F4E"/>
    <w:rsid w:val="00921DBF"/>
    <w:rsid w:val="00935E01"/>
    <w:rsid w:val="00970A81"/>
    <w:rsid w:val="00993BFB"/>
    <w:rsid w:val="0099704F"/>
    <w:rsid w:val="009B3567"/>
    <w:rsid w:val="009C05A3"/>
    <w:rsid w:val="009C2125"/>
    <w:rsid w:val="009C52AD"/>
    <w:rsid w:val="009D5186"/>
    <w:rsid w:val="009E185F"/>
    <w:rsid w:val="009E3B45"/>
    <w:rsid w:val="009F4B1E"/>
    <w:rsid w:val="009F790B"/>
    <w:rsid w:val="00A0000A"/>
    <w:rsid w:val="00A15FFE"/>
    <w:rsid w:val="00A3407E"/>
    <w:rsid w:val="00A35D38"/>
    <w:rsid w:val="00A53B9C"/>
    <w:rsid w:val="00A55F13"/>
    <w:rsid w:val="00A7611C"/>
    <w:rsid w:val="00A864AC"/>
    <w:rsid w:val="00AA2874"/>
    <w:rsid w:val="00AB3FCE"/>
    <w:rsid w:val="00AB7159"/>
    <w:rsid w:val="00AD49CA"/>
    <w:rsid w:val="00AD790A"/>
    <w:rsid w:val="00AE0751"/>
    <w:rsid w:val="00AE53B2"/>
    <w:rsid w:val="00B345FE"/>
    <w:rsid w:val="00B47FF3"/>
    <w:rsid w:val="00B541D8"/>
    <w:rsid w:val="00BB4F87"/>
    <w:rsid w:val="00BB6CA2"/>
    <w:rsid w:val="00BC1895"/>
    <w:rsid w:val="00BE6752"/>
    <w:rsid w:val="00BF1724"/>
    <w:rsid w:val="00BF3A28"/>
    <w:rsid w:val="00C241C4"/>
    <w:rsid w:val="00C63B21"/>
    <w:rsid w:val="00C64B7E"/>
    <w:rsid w:val="00C976C0"/>
    <w:rsid w:val="00CA1982"/>
    <w:rsid w:val="00CA5B2F"/>
    <w:rsid w:val="00CC2265"/>
    <w:rsid w:val="00CC2C7D"/>
    <w:rsid w:val="00CE3761"/>
    <w:rsid w:val="00CE5D9D"/>
    <w:rsid w:val="00CF2222"/>
    <w:rsid w:val="00D20188"/>
    <w:rsid w:val="00D34FA8"/>
    <w:rsid w:val="00D539D4"/>
    <w:rsid w:val="00D64B19"/>
    <w:rsid w:val="00D8547C"/>
    <w:rsid w:val="00D8615A"/>
    <w:rsid w:val="00DA46EE"/>
    <w:rsid w:val="00DB2B5D"/>
    <w:rsid w:val="00DB5AF4"/>
    <w:rsid w:val="00E628CD"/>
    <w:rsid w:val="00E669FD"/>
    <w:rsid w:val="00E7148B"/>
    <w:rsid w:val="00E848FD"/>
    <w:rsid w:val="00E9564F"/>
    <w:rsid w:val="00EA5869"/>
    <w:rsid w:val="00EA58AB"/>
    <w:rsid w:val="00EB6B3B"/>
    <w:rsid w:val="00ED38EB"/>
    <w:rsid w:val="00EE2405"/>
    <w:rsid w:val="00F030E2"/>
    <w:rsid w:val="00F161E5"/>
    <w:rsid w:val="00F17857"/>
    <w:rsid w:val="00F2631C"/>
    <w:rsid w:val="00F36AE4"/>
    <w:rsid w:val="00F930C4"/>
    <w:rsid w:val="00F95D63"/>
    <w:rsid w:val="00FA1A55"/>
    <w:rsid w:val="00FA76B4"/>
    <w:rsid w:val="00FC18CB"/>
    <w:rsid w:val="00FD1674"/>
    <w:rsid w:val="00FE2994"/>
    <w:rsid w:val="00FF1199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E652B"/>
  <w15:docId w15:val="{A03FDB5A-2FB7-4F2D-B725-1EB8CFA2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5FE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45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45FE"/>
    <w:rPr>
      <w:rFonts w:ascii="Times New Roman" w:eastAsia="Times New Roman" w:hAnsi="Times New Roman" w:cs="Times New Roman"/>
    </w:rPr>
  </w:style>
  <w:style w:type="character" w:styleId="Hyperlink">
    <w:name w:val="Hyperlink"/>
    <w:rsid w:val="00B345F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345F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5FE"/>
    <w:rPr>
      <w:rFonts w:ascii="Lucida Grande" w:eastAsia="Times New Roman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B345F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5FE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2346B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63B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3B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3B2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B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3B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63B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di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ltadro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gacoin@aeliu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ggy.dufour@geodis.com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4109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TransPerfect Translations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Viguie</dc:creator>
  <cp:lastModifiedBy>Benito von Mönckeberg</cp:lastModifiedBy>
  <cp:revision>3</cp:revision>
  <cp:lastPrinted>2018-04-10T14:05:00Z</cp:lastPrinted>
  <dcterms:created xsi:type="dcterms:W3CDTF">2018-04-11T05:03:00Z</dcterms:created>
  <dcterms:modified xsi:type="dcterms:W3CDTF">2018-04-11T05:13:00Z</dcterms:modified>
</cp:coreProperties>
</file>